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RE.2013.0004 vom 13. Mai 2013</w:t>
      </w:r>
    </w:p>
    <w:p>
      <w:r>
        <w:t>VD Tribunal cantonal, 2013-05-13, FR</w:t>
      </w:r>
    </w:p>
    <w:p>
      <w:r>
        <w:rPr>
          <w:b/>
        </w:rPr>
        <w:t xml:space="preserve">Quelle: </w:t>
      </w:r>
      <w:r>
        <w:t>https://mcp.opencaselaw.ch/entscheid/vd_omni_RE.2013.0004</w:t>
      </w:r>
    </w:p>
    <w:p>
      <w:r>
        <w:t>FR: VD_OMNI RE.2013.0004 du 13 mai 2013</w:t>
      </w:r>
    </w:p>
    <w:p>
      <w:r>
        <w:t>IT: VD_OMNI RE.2013.0004 del 13 maggio 2013</w:t>
      </w:r>
    </w:p>
    <w:p>
      <w:pPr>
        <w:pStyle w:val="Heading2"/>
      </w:pPr>
      <w:r>
        <w:t>Regeste</w:t>
      </w:r>
    </w:p>
    <w:p>
      <w:r>
        <w:t>X.________Sàrl, A. Y.________/Service de la police du commerce Direction des Sports, intégration, Le Juge instructeur (EKA) du recours au fond, Service de la promotion économique et du commerce (SPECo) | Décision de fixer les heures de fermeture d'une discothèque à 3 h en lieu et place de 5 h. Refus du juge instructeur d'accorder l'effet suspensif au recours formé contre cette décision dès lors que cette dernière repose prima facie sur des motifs pertinents de sécurité publique mis en évidence par les déclarations d'un responsable de la police lors d'une audience tenue par le juge instructeur. Recours incident rejeté dès lors que le juge instructeur a tenu compte de tous les intérêts pertinents et qu'il n'existe pas de motifs de remettre en cause la pesée des intérêts à laquelle il a procédé.</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 2.                a)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RE.2012.0015 du 13 décembre 2012; RE.2011.0017 du 22 février 2012; RE.2010.0007 du 31 décembre 2010). b) En l'occurrence, le juge instructeur a considéré, après avoir notamment entendu le capitaine I. J.________ chef de Police-secours que, dans l’attente du jugement au fond, la restriction d’horaire litigieuse se justifiait pour des motifs  de sécurité publique. On relève en premier lieu que l’appréciation du juge instructeur selon laquelle il résulte de l’instruction menée à ce stade que le "2******** " pose un problème particulier de sécurité ne prête pas flanc à la critique. Le capitaine J.________ a ainsi clairement indiqué lors de son audition du 8 avril 2013 que cet établissement posait un problème spécifique par rapport aux autres établissements, notamment en raison de sa proximité avec la place 4******** qui est connue pour être le lieu de fréquentes bagarres durant les nuits du week-end. Le capitaine J.________ a également indiqué que la fermeture du "5********" à 3h était une mesure efficace pour améliorer la sécurité dans la mesure où cela permettait à la police de concentrer ses forces à 4******** à ce moment là, soit avant la fermeture des autres établissements. On relève au surplus que le juge instructeur a pris en compte tous les intérêts pertinents en incluant l’impact économique de la mesure litigieuse. La Cour de céans n’a pas de raison de remettre en cause la pesée d’intérêts à laquelle il a procédé,  qui a abouti au constat que l’intérêt lié à la sécurité publique était prépondérant. L’intérêt au maintien de la sécurité publique est en effet un intérêt important, qui doit en principe l’emporter lorsque, comme c’est le cas en l’espèce, des intérêts purement économiques lui sont opposés. Le fait que les chiffres donnés par les recourants montrent une diminution marquée de la fréquentation de l’établissement depuis l’entrée en vigueur de la mesure litigieuse n’est par conséquent pas décisif. Il en va de même du risque de perte financière qui est allégué en relation avec l’accord passé avec la société  propriétaire pour la résiliation du bail. Pour ce qui est de l’impact économique de la fermeture de l’établissement à 3h, on relève au demeurant que l’affirmation des recourants selon laquelle cet horaire entraînera nécessairement la faillite de l’établissement est contestée par l’autorité communale de police du commerce. Cette dernière relève ainsi que le "2******** " a des atouts, notamment en ce qui concerne sa localisation au centre ville, qui devraient lui permettre de s’adapter, cas échéant en modifiant son concept, son programme, sa politique de prix ou les horaires d’ouverture de l’établissement. Les chiffres relatifs à la baisse de fréquentation à la suite de la modification de l’horaire de fermeture doivent au surplus être pris avec une certaine prudence dans la mesure où ils peuvent être influencés par la programmation des soirées prises en compte. Les éléments mis en avant par l’autorité communale n’étant pas prima facie dénués de pertinence , les arguments d’ordre économique mis en avant par les recourants doivent dès lors être relativisés à ce stade. 3.                Vu ce qui précède, le recours doit être rejeté la décision incidente attaquée confirmée. Les recourants, qui succombent, supportent les frais de la présente procédure de recours incident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