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RE.2004.0009 vom 19. Mai 2004</w:t>
      </w:r>
    </w:p>
    <w:p>
      <w:r>
        <w:t>VD Tribunal cantonal, 2004-05-19, FR</w:t>
      </w:r>
    </w:p>
    <w:p>
      <w:r>
        <w:rPr>
          <w:b/>
        </w:rPr>
        <w:t xml:space="preserve">Quelle: </w:t>
      </w:r>
      <w:r>
        <w:t>https://mcp.opencaselaw.ch/entscheid/vd_omni_RE.2004.0009</w:t>
      </w:r>
    </w:p>
    <w:p>
      <w:r>
        <w:t>FR: VD_OMNI RE.2004.0009 du 19 mai 2004</w:t>
      </w:r>
    </w:p>
    <w:p>
      <w:r>
        <w:t>IT: VD_OMNI RE.2004.0009 del 19 maggio 2004</w:t>
      </w:r>
    </w:p>
    <w:p>
      <w:pPr>
        <w:pStyle w:val="Heading2"/>
      </w:pPr>
      <w:r>
        <w:t>Regeste</w:t>
      </w:r>
    </w:p>
    <w:p>
      <w:r>
        <w:t>CELORIO Juan c/TA AC004/0027 | Confirmation de la levée partielle de l'effet suspensif en matière de police des constructions, en raison de travaux entrepris sans autorisation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juillet 2004. Compte tenu de ce résultat, il y a lieu de mettre les frais de justice à la charge du recourant à concurrence de 500 francs. Il y a en outre lieu de mettre des dépens à la charge du recourant, à raison de 500 fr. également.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