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RE.2002.0013 vom 25. April 2002</w:t>
      </w:r>
    </w:p>
    <w:p>
      <w:r>
        <w:t>VD Tribunal cantonal, 2002-04-25, FR</w:t>
      </w:r>
    </w:p>
    <w:p>
      <w:r>
        <w:rPr>
          <w:b/>
        </w:rPr>
        <w:t xml:space="preserve">Quelle: </w:t>
      </w:r>
      <w:r>
        <w:t>https://mcp.opencaselaw.ch/entscheid/vd_omni_RE.2002.0013</w:t>
      </w:r>
    </w:p>
    <w:p>
      <w:r>
        <w:t>FR: VD_OMNI RE.2002.0013 du 25 avril 2002</w:t>
      </w:r>
    </w:p>
    <w:p>
      <w:r>
        <w:t>IT: VD_OMNI RE.2002.0013 del 25 aprile 2002</w:t>
      </w:r>
    </w:p>
    <w:p>
      <w:pPr>
        <w:pStyle w:val="Heading2"/>
      </w:pPr>
      <w:r>
        <w:t>Regeste</w:t>
      </w:r>
    </w:p>
    <w:p>
      <w:r>
        <w:t>c/CR020048 | Un excès de vitesse (+ 30 km/h sur route cantonale hors localité) est selon la jurisprudence un cas de retrait de permis obligatoire. Dès lors qu'il est commis en état de récidive, il entraîne nécessairement un retrait de 6 mois. Le recours contre une mesure de cette durée est dépourvu de chance de succès et l'effet suspensif doit être refusé pour cette raison.</w:t>
      </w:r>
    </w:p>
    <w:p>
      <w:pPr>
        <w:pStyle w:val="Heading2"/>
      </w:pPr>
      <w:r>
        <w:t>Erwägungen</w:t>
      </w:r>
    </w:p>
    <w:p>
      <w:r>
        <w:rPr>
          <w:b/>
        </w:rPr>
        <w:t>E. 1</w:t>
      </w:r>
    </w:p>
    <w:p>
      <w:r>
        <w:t>lit. c LCR). 2.                     En se bornant à le constater dans sa décision sur effet suspensif, le juge instructeur n'a fait que tirer les conséquences inéluctables d'un état de fait résultant du dossier et par ailleurs non contesté. Le recourant allègue certes dans son recours au fond qu'il ne s'en est fallu que de très peu qu'il puisse échapper à la rigueur de la loi, puisque l'excès de vitesse commis est à la limite inférieure déterminant un cas de retrait de permis obligatoire, et que la nouvelle infraction a été commise le dernier jour du délai légal de deux ans impliquant la récidive. Mais ces éléments sont sans pertinence. Les limites fixées expressément par la loi ou la jurisprudence sous une forme chiffrée précise s'imposent en effet aussi bien à l'autorité de première instance qu'à celle de recours et ne laissent aucune marge d'appréciation. Les circonstances dans lesquelles a été commise l'infraction (également plaidées par le recourant, qui fait valoir que les conditions de circulation étaient excellentes) sont elles aussi sans incidence. Hors des localités, sur une route ordinaire ou sur une semi-autoroute dont les chaussées dans les deux directions ne sont pas séparées, un excès de vitesse de 30 km/h entraîne un retrait obligatoire même si les conditions de circulation sont favorables et les antécédents bons (ATF 124 II 259; 122 IV 173). Enfin, en présence d'une durée minimale de retrait imposé par la loi, le besoin professionnel que peut faire valoir un conducteur ne joue pas davantage de rôle. 3.                     On ne voit dès lors pas comment le recours au fond pourrait être admis. Or, l'absence de chances de succès est un motif suffisant de refuser l'effet suspensif à un recours contre un retrait d'admonestation (ATF 107 Ib 395; ATF 99 Ib 221 consid. 5 et les réf. citées). Il est vrai que le recourant a renoncé à solliciter une telle mesure au vu de la date fixée par le SAN pour l'exécution du retrait de permis, mais cela ne joue pas de rôle, dès lors qu'une telle mesure provisionnelle peut et doit cas échéant être prise d'office (art. 45 LJPA). Le fait qu'en l'espèce une décision ait été prise immédiatement ne la rend pas pour autant prématurée et n'est d'ailleurs pas de nature à causer quelque préjudice que ce soit au recourant: celui-ci a au contraire intérêt à être averti le plus tôt possible de la date à laquelle il devra certainement déposer son permis de manière à prendre ses dispositions en conséquence. 4.                     Enfin la motivation de la décision attaquée, parfaitement conforme au droit fédéral (v. la jurisprudence citée au consid. 1 ci-dessus) n'implique en soi aucune prévention. D'ailleurs, le fait d'avertir une partie que son recours paraît voué à l'échec n'est pas non plus une cause de récusation (ATF 119 Ia 87). Ce point échappe d'ailleurs à la compétence de la section des recours et sera jugé par la Cour plénière du Tribunal administratif lorsqu'elle statuera sur la demande de récusation. 5.                     En tout point mal fondé, le recours incident doit être rejeté, aux frais de son auteur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