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RE.1993.0055 vom 26. Oktober 1994</w:t>
      </w:r>
    </w:p>
    <w:p>
      <w:r>
        <w:t>VD Tribunal cantonal, 1994-10-26, FR</w:t>
      </w:r>
    </w:p>
    <w:p>
      <w:r>
        <w:rPr>
          <w:b/>
        </w:rPr>
        <w:t xml:space="preserve">Quelle: </w:t>
      </w:r>
      <w:r>
        <w:t>https://mcp.opencaselaw.ch/entscheid/vd_omni_RE.1993.0055</w:t>
      </w:r>
    </w:p>
    <w:p>
      <w:r>
        <w:t>FR: VD_OMNI RE.1993.0055 du 26 octobre 1994</w:t>
      </w:r>
    </w:p>
    <w:p>
      <w:r>
        <w:t>IT: VD_OMNI RE.1993.0055 del 26 ottobre 1994</w:t>
      </w:r>
    </w:p>
    <w:p>
      <w:pPr>
        <w:pStyle w:val="Heading2"/>
      </w:pPr>
      <w:r>
        <w:t>Regeste</w:t>
      </w:r>
    </w:p>
    <w:p>
      <w:r>
        <w:t>GEORGES Robert et Michel c/EF 92/052 | Notion de dépens en procédure adm. Les frais de vacation ne comprennent pas d'indem. pour le tps consacré à la procéd. par la partie elle-même. Refus d'indem. pour les honoraires de l'av. intervenu tardiv. alors que l'instr. était pratiquement close.</w:t>
      </w:r>
    </w:p>
    <w:p>
      <w:pPr>
        <w:pStyle w:val="Heading2"/>
      </w:pPr>
      <w:r>
        <w:t>Erwägungen</w:t>
      </w:r>
    </w:p>
    <w:p>
      <w:r>
        <w:rPr>
          <w:b/>
        </w:rPr>
        <w:t>E. 24</w:t>
      </w:r>
    </w:p>
    <w:p>
      <w:r>
        <w:t>janvier 1994). Aux termes de l'art. 1er de ce tarif, toutes les opérations nécessaires à l'ouverture et à l'avancement du procès ou provoquées par celui-ci donnent droit à des honoraires à titre de dépens. A contrario les opérations inutiles ou superflues n'ont pas à être indemnisées. Il s'agit là d'un principe général en matière de dépens, valable même sans disposition expresse (v. Martin Bernet, op. cit., ch. 257, note 1, p. 147). La même conséquence pourrait être déduite du principe selon lequel les frais inutiles doivent être supportés indépendamment de l'issue du litige par la partie qui les a occasionnés (Martin Bernet, op. cit., ch. 239, p. 137). En l'occurrence les recourants n'ont pas recouru aux services d'un avocat pour faire valoir leurs droits. Ils ont eux-mêmes motivé leur recours et, quoiqu'ils aient annoncé le 3 février 1993 qu'ils allaient consulter un avocat, ils ne l'ont fait qu'à fin mai ou début juin, à une époque où l'instruction de la cause touchait à sa fin. C'est en effet au tout début du mois de juin que la Commission d'estimation fiscale a fait savoir qu'elle pourrait revenir sur sa décision s'il était établi que la parcelle litigieuse était affermée à des agriculteurs, et que le juge instructeur a invité les recourants à apporter cette preuve. A ce stade de l'instruction le mandataire des recourants n'avait plus à accomplir aucun acte nécessaire à l'avancement de la procédure ou provoqué par celle-ci, sinon donner suite à la réquisition du juge instructeur; or ses clients l'ont fait eux-mêmes. L'intervention de leur avocat s'est ainsi limitée à une écriture du 19 juillet 1993 dans laquelle il demande un délai supplémentaire pour déposer un mémoire et pose diverses questions sur le déroulement de la procédure, ainsi qu'à une lettre du 31 août 1993, qui constate que la nouvelle décision de l'autorité intimée rend le recours sans objet à la satisfaction des ses clients et requiert pour ceux-ci l'allocation de dépens. Dans ces circonstances il n'y a pas lieu de s'écarter de la pratique suivant laquelle des honoraires ne sont dus à titre de dépens qu'à partir du moment où le mandataire dépose de véritables actes de procédure (recours, mémoire complémentaire, réponse, etc.) ou assiste son client en audience. En l'absence de tels actes, les honoraires pour étude de dossier et conférence avec le client ne donnent pas lieu à indemnité. 4.                     Les considérants qui précèdent conduisant au rejet du recours, il y a lieu de mettre un émolument de justice à la charge des recourants, conformément aux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