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PS.2025.0057 vom 14. Oktober 2025</w:t>
      </w:r>
    </w:p>
    <w:p>
      <w:r>
        <w:t>VD Tribunal cantonal, 2025-10-14, FR</w:t>
      </w:r>
    </w:p>
    <w:p>
      <w:r>
        <w:rPr>
          <w:b/>
        </w:rPr>
        <w:t xml:space="preserve">Quelle: </w:t>
      </w:r>
      <w:r>
        <w:t>https://mcp.opencaselaw.ch/entscheid/vd_omni_PS.2025.0057</w:t>
      </w:r>
    </w:p>
    <w:p>
      <w:r>
        <w:t>FR: VD_OMNI PS.2025.0057 du 14 octobre 2025</w:t>
      </w:r>
    </w:p>
    <w:p>
      <w:r>
        <w:t>IT: VD_OMNI PS.2025.0057 del 14 ottobre 2025</w:t>
      </w:r>
    </w:p>
    <w:p>
      <w:pPr>
        <w:pStyle w:val="Heading2"/>
      </w:pPr>
      <w:r>
        <w:t>Regeste</w:t>
      </w:r>
    </w:p>
    <w:p>
      <w:r>
        <w:t>A.________ /Direction générale de la cohésion sociale (DGCS), Centre social régional de Morges-Aubonne-Cossonay | Admission du recours contre une décision de la DGCS qui a confirmé une décision de restitution du RI perçu par le recourant entre août 2017 et avril 2018 ainsi que la sanction prononcée, tout en renvoyant la décision au CSR pour la période de mai 2018 à mai 2020 L'objet du litige se limite à la période comprise en août 2017 et avril 2018 ainsi qu'à la sanction prononcée. Sur la base des pièces figurant au dossier qui concernent essentiellement une période postérieure à juillet 2019, le tribunal considère que c'est à tort que la DGCS a retenu qu'il était établi que le recourant vivait en concubinage stable et qualifié depuis le mois d'août 2017 déjà. Il y a donc lieu de renvoyer la décision à l'autorité concernée pour qu'elle décide si elle peut encore compléter l'instruction ou si, vu le temps écoulé, elle y renonce. Annulation de la sanction dès lors que la gravité de la faute du recourant ne peut pas encore être établie. Renvoi de la cause à l'autorité concernée pour une nouvelle décision.</w:t>
      </w:r>
    </w:p>
    <w:p>
      <w:pPr>
        <w:pStyle w:val="Heading2"/>
      </w:pPr>
      <w:r>
        <w:t>Erwägungen</w:t>
      </w:r>
    </w:p>
    <w:p>
      <w:r>
        <w:rPr>
          <w:b/>
        </w:rPr>
        <w:t>E. 1</w:t>
      </w:r>
    </w:p>
    <w:p>
      <w:r>
        <w:t>Aux termes de l'art. 95 de la loi vaudoise du 28 octobre 2008 sur la procédure administrative (LPA-VD; BLV 173.36), le recours au Tribunal cantonal s'exerce dans les 30 jours dès la notification de la décision ou du jugement attaqué. Déposé dans le délai requis par le destinataire de la décision attaquée (art. 75 LPA-VD), il satisfait au surplus aux exigences de forme et de motivation prévues par l'art. 79 al. 1 LPA-VD (applicable par renvoi de l'art. 99 LPA-VD), de sorte qu'il convient d'entrer en matière.</w:t>
      </w:r>
    </w:p>
    <w:p>
      <w:r>
        <w:rPr>
          <w:b/>
        </w:rPr>
        <w:t>E. 2</w:t>
      </w:r>
    </w:p>
    <w:p>
      <w:r>
        <w:t>A titre liminaire, il y a lieu de circonscrire l'objet du litige dès lors que la DGCS a partiellement admis le recours et renvoyé le dossier au CSR pour une nouvelle décision pour " la période allant de mai 2018 à mai 2020 ".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arrêt CDAP PS.2021.0090 du 24 mai 2022 consid. 8). Le Tribunal cantonal ne peut donc pas se prononcer en dehors de l'objet de la contestation et il n'a pas à traiter les conclusions qui sortent du cadre fixé par la décision attaquée (cf. art. 79 al. 1 LPA-VD, par renvoi de l'art. 99 LPA-VD). En outre, seules les décisions finales ‑ soit celles qui mettent fin à la procédure ‑ sont en principe susceptibles de recours; les autres décisions ‑ soit les décisions incidentes, dans la mesure où elles ne portent pas sur la compétence, une demande de récusation, l'effet suspensif ou les mesures provisionnelles ‑ ne sont susceptibles de recours que si elles peuvent causer un préjudice irréparable au recourant ou si l'admission du recours peut conduire immédiatement à une décision finale qui permet d'éviter une procédure probatoire longue et coûteuse (art. 74 LPA-VD, applicable par renvoi de l'art. 99 LPA-VD). Dans tous les cas, le recourant doit au surplus disposer d'un intérêt digne de protection à l'annulation ou à la modification de la décision attaquée, lequel consiste dans l'utilité pratique que l'admission du recours apporterait au recourant en lui évitant de subir un préjudice de nature économique, idéale, matérielle ou autre que la décision attaquée lui occasionnerait (art. 75 al. 1 let. a LPA-VD, applicable par renvoi de l'art. 99 LPA-VD; ATF 138 III 537 consid. 1.2.2). Lorsqu'il est valablement saisi d'un recours, le tribunal ne peut pas se prononcer sur des questions qui n'ont pas été préalablement tranchées par l'autorité intimée dans la décision attaquée (art. 79 LPA-VD, applicable par renvoi de l'art. 99 LPA-VD; ATF 144 II 359 consid. 4.3). b) En l'espèce, il y a lieu de constater que, pour la période allant de mai 2018 à mai 2020, l'autorité intimée n'a pas prononcé une décision qui serait déjà contraignante pour le recourant puisqu'elle a renvoyé la cause au CSR pour rendre une nouvelle décision. La décision attaquée n’a ainsi pas mis fin au litige s'agissant du remboursement du RI perçu par le recourant à compter de mai 2018. Le recourant ne dispose d’aucun intérêt pratique à l’annulation ou à la modification de la décision attaquée sur ce point. Le Tribunal considère dès lors que, tant la question de l'éventuel indu perçu par le recourant entre mai 2018 et mai 2020 que celle de son remboursement, excèdent manifestement l'objet du présent litige. Ces questions devront en effet être à nouveau tranchées par le CSR et pourront faire l'objet, cas échéant, d'un nouveau recours devant la DGCS. En conséquence, l’objet du litige se limite à la période comprise entre août 2017 et avril 2018 ‑ pour laquelle l’autorité intimée a confirmé que le recourant devait restituer l’intégralité du RI perçu (sans toutefois que le dispositif de la décision entreprise ne chiffre le montant dû à ce titre) ‑ ainsi qu’à la question de la sanction, laquelle a été confirmée dans la décision entreprise.</w:t>
      </w:r>
    </w:p>
    <w:p>
      <w:r>
        <w:rPr>
          <w:b/>
        </w:rPr>
        <w:t>E. 3</w:t>
      </w:r>
    </w:p>
    <w:p>
      <w:r>
        <w:t>Si le ménage élargi ne forme pas une communauté de type familial, la contribution se limite au partage proportionnel des frais de logement et charges selon le nombre total de personnes." b) Selon la jurisprudence de la CDAP, la relation entre le requérant et la personne qui mène de fait une vie de couple avec lui, au sens de l'art. 31 al. 2 LASV, équivaut à un concubinage stable ou qualifié, justifiant un devoir d'assistance mutuel, tel que l'entend la jurisprudence fédérale (arrêts CDAP PS.2020.0090 du 14 mai 2021 consid. 3b/bb; PS.2019.0015 du 23 avril 2020 consid. 3b; PS.2018.0028 du 13 février 2019 consid. 1c/bb). Dans sa jurisprudence en matière d'aide sociale,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pp.117/118 et les références). L'existence d’une union libre stable entraînant des obligations d’entraide comparables à celle d’un mariage n'est admise qu'avec retenue par la jurisprudence (arrêt CDAP PS.2022.0011 du 8 mai 2023 consid. 4d). L'art. 17a al. 1 du règlement du 26 octobre 2005 d’application de la LASV (RLASV; BLV 850.051.1) précise que sont présumées comme menant de fait une vie de couple au sens de l'art. 31 al. 2 LASV les personnes qui ont un ou plusieurs enfants communs avec la personne avec qui elles vivent (let. a) ou qui vivent ensemble dans le même ménage depuis au moins cinq ans (let. b).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(arrêts CDAP PS.2023.0001 du 8 mai 2023 consid. 2d; PS.2021.0073 du 13 avril 2022 consid. 2a/cc). S'agissant du renversement de cette présomption, la CDAP a estimé que cela revenait à devoir apporter la preuve de faits négatifs, ce qui est, par nature difficile à rapporter (arrêt CDAP PS.2022.0034 du 14 mars 2023 consid. 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La règle de la vraisemblance prépondérante est également valable dans le domaine de l'aide sociale (ATF 144 V 427 consid. 3.2; 139 V 176 consid. 5.3; arrêts CDAP PS.2021.0073 précité consid. 2a/cc; PS.2020.0090 précité consid. 3b/cc; PS.2019.0008 du 17 janvier 2020 consid. 3b). c) En l'espèce, il n'est pas contesté que le recourant fait désormais ménage commun avec B.______ depuis le mois de mai 2020. Le couple est même désormais marié. En revanche, le recourant conteste avoir fait ménage commun avec B.______ depuis le mois d'août 2017. De son côté, l'autorité intimée a retenu dans la décision entreprise que B.______ apportait de l'aide au recourant depuis le mois de mai 2016, tant au niveau administratif que financier, notamment parce qu'elle l'avait accompagné à ses rendez-vous au CSR depuis cette date. Elle relève également que B.______ a admis avoir prêté sa voiture au recourant, qu'elle l'a amené à plusieurs reprises à ses rendez-vous médicaux et que ce dernier dormait fréquemment chez elle. Elle souligne enfin que, selon les dires du personnel de la crèche, le recourant amenait fréquemment sa fille à l'établissement, cela dès la rentrée d'août 2017, alors même qu'il était censé vivre à ******* et qu'il avait exposé avoir du mal à se déplacer et à conduire depuis le mois de mai 2016 au plus tard. Sur la base de ces indices, l’autorité intimée a donc retenu que la relation de concubinage était établie depuis le mois d’août 2017 au moins. Cela étant, contrairement à ce que semble soutenir l'autorité intimée dans sa décision, les seuls éléments qui pourraient démontrer que le recourant vivait depuis août 2017 chez B.______ sont les déclarations du personnel de la crèche de leur fille. Or, s'il est vrai que le directeur et son adjointe de la crèche ont admis que le recourant amenait " quasiment tout le temps " sa fille à la crèche et qu'il effectuait de " très nombreux passages ", ces simples indications ne sont pas propres à établir que le recourant vivait alors à Lausanne, encore moins chez B.______, et ne disent donc, a fortiori , rien de l'existence ou non d'un devoir d'assistance mutuel entre le recourant et B.______, qui aurait fait naître entre eux des obligations d’entraide comparables à celle d’un mariage. Le dossier révèle certes que les intéressés entretiennent une relation régulière depuis 2015, année de naissance de leur premier enfant, et que cette relation a évolué jusqu’à la naissance d’un deuxième enfant en novembre 2020, puis à leur mariage en mars 2021. Ces différentes étapes, espacées dans le temps, plaident toutefois plutôt en faveur d’une consolidation progressive de leur relation que pour l’existence d’un concubinage stable dès 2017. Le recourant a spontanément et sans tarder annoncé au CSR la naissance de son premier enfant, tout en précisant d'emblée qu'il ne faisait pas ménage commun avec la mère et l'enfant. Il avait annoncé qu'il s'installerait peut-être chez la mère de sa fille en fin d'année 2015, mais il a pris le soin d'avertir le CSR en décembre 2015 qu'il continuait de vivre seul dans son appartement d'*******. En effet, les intéressés ont conservé des logements distincts durant plusieurs années, cela même après le déménagement de B.______ de ******** à Lausanne en 2017. De plus, si B.______ a effectivement admis avoir apporté une aide administrative ou logistique au recourant dès 2016, il ressort de ses propres déclarations qu’elle n’entendait pas assumer l’entretien financier du recourant, comme en témoigne son courrier de mai 2016 au CSR précisant qu’elle ne pouvait subvenir à ses besoins pour lui permettre de poursuivre un stage professionnel. Elle a également expressément déclaré aux enquêteurs que c'était elle qui ne souhaitait pas que le recourant s'installe chez elle. L’aide apportée par B.______ au recourant – prêt de voiture, accompagnement ponctuel, hébergement temporaire – relève ainsi davantage d’un soutien pratique que de l’accomplissement d’un devoir d’entraide comparable à celui qui lie des époux ou des concubins. Cette aide ne saurait démontrer l’existence d’une véritable communauté de toit, de table et de lit au sens de la jurisprudence fédérale (ATF 145 I 108 consid. 4.4.6). Il est vrai que le dossier contient d’autres éléments (notamment le résultat de la surveillance opérée entre juillet et novembre 2019) qui paraissent démontrer l’existence d’un concubinage entre les intéressés à compter d’août 2019, même si cet élément excède l’objet du litige. Toutefois, force est de constater que le dossier des autorités inférieures ne contient que très peu d'informations sur la situation personnelle, familiale ou économique du recourant antérieurement au début de l'enquête en juillet 2019. En particulier, le dossier ne comprend aucune pièce qui démontrerait que le recourant aurait transféré son centre de vie à Lausanne dès 2017 (décomptes bancaires, factures, correspondances officielles, etc.). A l'aune des dénégations du recourant, il n'était ainsi pas possible de conclure, sans autres investigations, à l'existence d'une vie de couple entre le recourant et B.______ antérieurement au mois d'août 2019. En définitive, sur la base des pièces figurant au dossier, le tribunal considère que les différents indices recueillis n'étaient manifestement pas suffisants pour conclure à une vie commune des intéressés, respectivement pour qualifier leur relation de concubinage stable ou qualifié au sens où l'entend la jurisprudence fédérale, cela depuis le mois d'août 2017 comme le soutient à tort l’autorité intimée dans sa décision. C'est donc manifestement à juste titre que le recourant s'est plaint d'une constatation inexacte ou incomplète des faits pertinents (cf. art. 76 let. b LPA-VD). d) La décision querellée, en tant qu'elle confirme le remboursement de la totalité du RI perçu par le recourant pour la période d’août 2017 à avril 2018 est donc manifestement mal fondée. Elle sera ainsi annulée en tant qu'elle repose sur une prémisse (l'existence d'un concubinage qualifié) qui n'a pas été établie à satisfaction de droit et dénie, sur cette seule base, tout besoin d'assistance du recourant à compter du mois d'août 2017. Cela fait, la cause sera renvoyée à l’autorité concernée, afin qu’elle décide s’il est encore possible de compléter l’instruction pour établir l’existence d’un concubinage qualifié entre le recourant et B.______, pour des faits antérieurs au mois d’août 2019, ou s’il convient, vu le temps écoulé et la répartition du fardeau de la preuve, d’y renoncer.</w:t>
      </w:r>
    </w:p>
    <w:p>
      <w:r>
        <w:rPr>
          <w:b/>
        </w:rPr>
        <w:t>E. 4</w:t>
      </w:r>
    </w:p>
    <w:p>
      <w:r>
        <w:t>La décision entreprise confirme également la sanction prononcée par l'autorité concernée dans sa décision du 18 décembre 2020, ce que le recourant conteste dans son recours. 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Pour être confirmée, la sanction doit être adaptée à la gravité de la faute (cf. arrêts CDAP PS.2024.0073 du 19 février 2025; cf. aussi CDAP PS.2018.0050 du 15 janvier 2019 consid. 3b/aa; PS.2016.0091 du 26 juin 2017 consid. 4b et la réf.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arrêt CDAP PS.2021.0049 du 4 mai 2022 consid. 4b et les réf. citées). b) En l'espèce, on ne discerne pas comment l'autorité intimée pouvait apprécier la gravité de la faute commise par le recourant et maintenir la sanction alors même qu'elle n'a pas établi le montant de l'indu perçu par le recourant et qu'elle a renvoyé en partie le dossier à l'autorité concernée pour une nouvelle décision. En tout état de cause, dès lors que la décision querellée a été annulée, l'existence d'un concubinage qualifié n'ayant pas été établie depuis août 2017, il y a également lieu d'annuler la sanction qui a été confirmée par l'autorité intimée. La cause sera ainsi également renvoyée à l'autorité concernée pour une nouvelle décision.</w:t>
      </w:r>
    </w:p>
    <w:p>
      <w:r>
        <w:rPr>
          <w:b/>
        </w:rPr>
        <w:t>E. 5</w:t>
      </w:r>
    </w:p>
    <w:p>
      <w:r>
        <w:t>Les considérants qui précèdent entraînent l'admission du recours manifestement bien fondé et l'annulation de la décision attaquée en tant qu’elle confirme la décision de restitution du CSR s’agissant du RI perçu durant la période d’août 2017 à avril 2018 ainsi que la sanction prononcée par le CSR. La cause est renvoyée à l'autorité concernée pour une nouvelle décision dans le sens des considérants. Le présent arrêt est rendu de manière sommairement motivée selon la procédure simplifiée de l’art. 82 LPA-VD (par renvoi de l’art. 99 LPA-VD). Il est rendu sans frais en vertu de l'art. 4 al. 3 du tarif du 28 avril 2015 des frais et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