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PS.2025.0056 vom 24. November 2025</w:t>
      </w:r>
    </w:p>
    <w:p>
      <w:r>
        <w:t>VD Tribunal cantonal, 2025-11-24, FR</w:t>
      </w:r>
    </w:p>
    <w:p>
      <w:r>
        <w:rPr>
          <w:b/>
        </w:rPr>
        <w:t xml:space="preserve">Quelle: </w:t>
      </w:r>
      <w:r>
        <w:t>https://mcp.opencaselaw.ch/entscheid/vd_omni_PS.2025.0056</w:t>
      </w:r>
    </w:p>
    <w:p>
      <w:r>
        <w:t>FR: VD_OMNI PS.2025.0056 du 24 novembre 2025</w:t>
      </w:r>
    </w:p>
    <w:p>
      <w:r>
        <w:t>IT: VD_OMNI PS.2025.0056 del 24 novembre 2025</w:t>
      </w:r>
    </w:p>
    <w:p>
      <w:pPr>
        <w:pStyle w:val="Heading2"/>
      </w:pPr>
      <w:r>
        <w:t>Regeste</w:t>
      </w:r>
    </w:p>
    <w:p>
      <w:r>
        <w:t>A.________ /Centre Régional de Décision (CRD) PC Familles Riviera-Aigle-Pays-d'Enhaut | Recours d'une bénéficiaire, en incapacité de travail à 100% à partir du 30 septembre 2024 pour cause de maladie, contre la décision supprimant son droit aux prestations complémentaires pour familles pour les périodes du 1er octobre au 31 décembre 2024 et du 1er janvier au 31 mars 2025, lui réclamant des prestations indûment perçues pour ces mêmes périodes et rejetant sa demande de remise de l'obligation de restituer l'indu. - Dès lors que l'autorité intimée traite aussi de la question de la remise dans la décision sur réclamation et que cet élément fait l'objet des écritures des parties, la CDAP a examiné également cet aspect de la décision (consid. 2). - C'est à tort que l'autorité intimée a tenu compte dans son calcul du revenu déterminant pour la période du 1er janvier au 31 mars 2025 d'un montant au titre d'allocations familiales. Le montant à restituer pour cette période est donc réduit (consid. 4). - La bonne foi de la recourante, qui n'a informé l'autorité intimée de son arrêt maladie que près de six mois après son début, doit être niée. C'est ainsi à juste titre que l'autorité intimée a refusé d'accorder la remise demandée (consid. 5). Recours partiellement admis.</w:t>
      </w:r>
    </w:p>
    <w:p>
      <w:pPr>
        <w:pStyle w:val="Heading2"/>
      </w:pPr>
      <w:r>
        <w:t>Erwägungen</w:t>
      </w:r>
    </w:p>
    <w:p>
      <w:r>
        <w:rPr>
          <w:b/>
        </w:rPr>
        <w:t>E. 1</w:t>
      </w:r>
    </w:p>
    <w:p>
      <w:r>
        <w:t>La décision sur réclamation en cause peut faire l'objet d'un recours au Tribunal cantonal (art. 30 al. 4 de la loi du 23 novembre 2010 sur les prestations complémentaires cantonales pour familles et les prestations cantonales de la rente-pont [LPCFam; BLV 850.053]). Les dispositions de la loi du 28 octobre 2008 sur la procédure administrative (LPA-VD; BLV 173.36) s'appliquent au surplus (cf. art. 30 al. 5 LPCFam). Déposé dans le délai de 30 jours fixé par l'art. 95 LPA-VDA, le recours est intervenu en temps utile. Il satisfait aux conditions formelles énoncées par l'art. 79 LPA-VD (applicable par renvoi de l'art. 99 LPA-VD). Il a enfin été interjeté par une personne disposant manifestement de la qualité pour recourir (cf. art. 75 let. a LPA-VD). Il y a donc lieu d'entrer en matière sur le fond.</w:t>
      </w:r>
    </w:p>
    <w:p>
      <w:r>
        <w:rPr>
          <w:b/>
        </w:rPr>
        <w:t>E. 2</w:t>
      </w:r>
    </w:p>
    <w:p>
      <w:r>
        <w:t>Il convient tout d'abord de préciser l'objet du litige. a) aa)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131 V 164 consid. 2.1). bb) Conformément à la jurisprudence applicable aux prestations relevant de la LPCFam notamment, après qu'une décision de restitution est entrée en force, l'intéressé peut déposer une demande écrite de remise, pour que l'autorité statue sur le caractère exigible de la créance en restitution. Autrement dit, l'obligation de restituer est d'abord fixée par une décision formelle, avant que l'on examine si, à cause de la bonne foi de l'intéressé et de la situation difficile dans laquelle le mettrait une restitution effective des montants concernés, une décision de remise peut être prise (cf. CDAP PS.2024.0043 du 30 septembre 2024 consid. 3c; PS.2022.0048 du 10 février 2023 consid. 2b; PS.2021.0064 du 16 novembre 2021 consid. 1d). La pratique n'est toutefois pas uniforme: il arrive aussi que l'autorité détermine l'obligation de restituer et refuse la remise dans la même procédure (cf. p. ex. CDAP PS.2024.0021 du 20 décembre 2024 consid. 2b; PS.2023.0042 du 30 janvier 2024 consid. 3d; PS.2016.0025 du 28 septembre 2016 consid. 4d). b) En l'occurrence, la décision sur réclamation objet de la présente procédure comporte trois volets. Selon son dispositif, elle confirme les deux décisions du 3 avril 2025 supprimant le droit aux prestations complémentaires pour familles de la recourante ainsi que la décision de restitution du 10 avril 2025. Répondant au grief de l'intéressée à ce propos dans sa réclamation, l'autorité intimée traite toutefois aussi de la question de la remise, qu'elle refuse, dans la décision sur réclamation. Cet élément fait également l'objet des écritures des parties dans le cadre de la procédure de recours. L'objet du litige porte donc aussi sur cet aspect, sur lequel il convient de statuer dans le présent arrêt.</w:t>
      </w:r>
    </w:p>
    <w:p>
      <w:r>
        <w:rPr>
          <w:b/>
        </w:rPr>
        <w:t>E. 3</w:t>
      </w:r>
    </w:p>
    <w:p>
      <w:r>
        <w:t>Le cadre légal pertinent est le suivant. a) Les PC Familles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et dans son règlement d'application du 17 août 2011 (RLPCFam; BLV 850.053.1). Selon l'art. 9 LPCFam, le montant de la prestation complémentaire annuelle pour familles correspond à la part des dépenses reconnues de la famille qui excède les revenus de la famille au cours d'une année civile, mais ne peut dépasser le total de montants forfaitaires (cf. art. 9 al. 1 LPCFam). Aux termes de l'art. 11 al. 1 LPCFam, le revenu déterminant pour le calcul du droit aux PC Familles comprend notamment les ressources en espèces ou en nature provenant de l'exercice d'une activité lucrative (let. a), les indemnités journalières d'assurance (let. g) et les allocations familiales (let. i, qui renvoie en particulier à l'art. 11 al. 1, let. f, de la loi fédérale du 6 octobre 2006 sur les prestations complémentaires à l'AVS et à l'AI [LPC; RS 831.30] ). Est assimilé au revenu d'activité lucrative tout revenu de substitution perçu en lieu et place de l'activité lucrative (art. 11 al. 2, 2 ème phr., LPCFam). L'art. 4 LPCFam prévoit quant à lui l'exclusion du cumul des PC Familles et de la prestation financière du revenu d'insertion vaudois (RI) (al. 1), les PC Familles n'étant versées que dans la mesure où le montant octroyé permet à l'ayant droit d'éviter le recours à la prestation financière du RI (al. 2). Selon l'art. 30 RLPCFam, si une révision périodique ou extraordinaire aboutit à une diminution du montant de la PC Familles annuelle, la décision y relative prend en principe effet dès le début du mois où le changement de situation est intervenu (al. 1). Est réservée la restitution lorsque l'obligation de renseigner a été violée (al.2). b) L'obligation de renseigner et de collaborer qui incombe au bénéficiaire est régie aux art. 22 ss LPCFam et 44 ss RLPCFam, les dispositions de la loi fédérale du 6 octobre 2000 sur la partie générale du droit des assurances sociales (LPGA; RS 830.1; cf. en particulier art. 28 et 31) s'appliquant en outre par analogie (cf. art. 22 LPCFam). Selon l'art. 22a LPCFam,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L'art. 44 RLPCFam précise que chaque bénéficiaire doit communiquer sans retard au CRD tout changement dans la situation personnelle et matérielle de nature à modifier le montant des prestations allouées ou à justifier leur suppression (al. 1). L'art. 28 LPCFam dispose que les prestations complémentaires cantonales pour familles et les prestations cantonales de la rente-pont perçues indûment doivent être restituées (al. 1). La restitution ne peut être exigée lorsque le bénéficiaire était de bonne foi et qu’elle le mettrait dans une situation difficile (al. 2). Cette disposition consacre ainsi le principe de la restitution des prestations généralement appliqué dans les régimes d’assurances sociales fédérales, y compris dans les prestations complémentaires fédérales à l’AVS/AI (voir CDAP PS.2024.0008 du 19 août 2024 consid. 2b/bb). L'obligation de restituer suppose que soient réunies les conditions d'une reconsidération ou d'une révision procédurale de la décision par laquelle les prestations en cause ont été allouées (art. 53 LPGA; ATF 130 V 318 consid. 5.2 p. 319 s. et les références) (CDAP PS.2024.0043 du 30 septembre 2024 consid. 3a).</w:t>
      </w:r>
    </w:p>
    <w:p>
      <w:r>
        <w:rPr>
          <w:b/>
        </w:rPr>
        <w:t>E. 4</w:t>
      </w:r>
    </w:p>
    <w:p>
      <w:r>
        <w:t>LAFam, le Conseil fédéral règle le droit aux allocations et la coordination avec les prestations versées en cas d’incapacité de travail et d’empêchement de travailler (let. a). L'art. 10 al. 1 de l'ordonnance fédérale du 31 octobre 2007 sur les allocations familiales (OAFam; RS 836.21) prévoit que si le salarié est empêché de travailler pour l’un des motifs énoncés à l’art. 324 a al. 1 et 3 du code des obligations du 30 mars 1911 (CO; RS 220), les allocations familiales sont versées, dès le début de l’empêchement de travailler, pendant le mois en cours et les trois mois suivants, même si le droit légal au salaire a pris fin. L'art. 324 a al. 1 CO précise que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Sur le site Internet de l'Etat de Vaud, il est indiqué que le montant de l'allocation familiale pour enfant de moins de 16 ans révolus – ce qui est le cas des deux enfants de la recourante – appliqué dès le 1 er janvier 2025 dans le canton de Vaud est de 322 fr. pour le 1 er et le 2 ème enfant. b) L'autorité intimée, dans sa décision du 3 avril 2025 supprimant le droit aux prestations complémentaires pour familles de la recourante pour la période du 1 er janvier au 31 mars 2025, a tenu compte dans son calcul du revenu déterminant d'un montant annuel de 7'728 fr. au titre de pensions, allocations, prestations périodiques ou rentes. Ce montant ne peut que correspondre à celui des allocations familiales pour deux enfants de moins de 16 ans (322 fr. x 2 x 12). Or, la recourante précise dans son recours, ce qu'elle avait déjà fait dans son courrier du 5 juin 2025 au Centre régional, qu'elle ne perçoit plus les allocations familiales depuis janvier 2025. Au vu de la règlementation précitée et sachant que son incapacité de travail a commencé le 30 septembre 2024, l'affirmation de l'intéressée est tout à fait vraisemblable. Il ne se justifiait pas, comme l'a fait l'autorité intimée, d'uniquement se fonder sur l'annonce faite par l'intéressée par courriel du 27 mars 2025 de la fin de son droit aux allocations familiales pour partir de l'idée que ces allocations avaient été versées jusqu'au 31 mars 2025. Il convient dès lors de tenir compte, pour la période du 1 er janvier au 31 mars 2025, d'un revenu déterminant non pas de 63'814 fr. comme l'a fait l'autorité intimée, mais de 56'086 fr. (63'814 fr. – 7'728 fr.). Sachant que les dépenses reconnues sont de 56'874 fr., le montant de la prestation complémentaire pour familles annuelle se monte à 788 fr., et non pas à -6'940 fr. comme l'a retenu le Centre régional; ceci correspond à un montant mensuel de 66 fr., représentant ainsi 198 fr. pour la période du 1 er janvier au 31 mars 2025. La recourante a toutefois reçu dans un premier temps, conformément à la décision du 21 janvier 2025, un montant mensuel de 306 fr., soit 918 fr. pour les trois premiers mois de l'année 2025, alors qu'elle n'avait droit qu'à 198 fr. Il en découle que, pour cette période, elle ne doit pas rembourser 918 fr., comme l'a retenu l'autorité intimée, mais 720 fr. Dès lors que le montant à rembourser par la recourante pour la période du 1 er octobre au 31 décembre 2024 s'élève par ailleurs à 1'050 fr., c'est un montant total de 1'770 fr., et non de 1'968 fr. qui doit être retenu comme montant à rembourser.</w:t>
      </w:r>
    </w:p>
    <w:p>
      <w:r>
        <w:rPr>
          <w:b/>
        </w:rPr>
        <w:t>E. 5</w:t>
      </w:r>
    </w:p>
    <w:p>
      <w:r>
        <w:t>La recourante ne conteste pour le reste en définitive pas véritablement l'application du droit cantonal quant au principe de la restitution des montants indus, mais fait valoir être de bonne foi et ne pas avoir les moyens financiers pour rembourser la somme exigée. Elle sollicite ainsi la remise totale ou partielle de son obligation de restituer, en application de l'art. 28 al. 2 LPCFam. a) Dans le domaine des assurances sociales, l'art. 25 al. 1 LPGA, qui est une disposition similaire à l'art. 28 al. 2 LPCFam, est libellé comme il suit: "Les prestations indûment touchées doivent être restituées. La restitution ne peut être exigée lorsque l'intéressé était de bonne foi et qu'elle le mettrait dans une situation difficile ". Selon la jurisprudence relative à l'art. 25 al. 1 LPGA, qui peut être appliquée par analogie en matière d'aide sociale (CDAP PS.2024.0021 du 20 décembre 2024 consid. 5a),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y a négligence grave quand un ayant droit ne se conforme pas à ce qui peut être raisonnablement exigé d'une personne capable de discernement dans une situation identique et dans les mêmes circonstances (TF 8C_557/2021 du 17 février 2022 consid. 4; 9C_43/2020 du 13 octobre 2020 consid. 3; CDAP PS.2024.0021 du 20 décembre 2024 consid. 5a). Les Directives de l'Office fédéral des assurances sociales concernant les prestations complémentaires à l'AVS et à l'AI (DPC, état au 1 er janvier 2025), auxquelles renvoient les Directives de la Direction générale de la cohésion sociale (DGCS) concernant l'application de la LPCFam et de son règlement (DPCFam; état: janvier 2025), s'appliquent par analogie à la restitution (art. 28 LPCFam) dans la mesure où cela correspond au cadre légal de cette loi (cf. p. 21, ch. 2 des DPCFam). Les DPC prévoient que les prestations indûment touchées, notamment en raison de la violation de l'obligation de renseigner, doivent être restituées par le bénéficiaire (DPC ch. 4610.01). S'agissant de la condition de la bonne foi, si une prestation est versée à tort et que l'assuré ne pouvait s'en rendre compte en faisant preuve de l'attention minimale exigible au vu des circonstances et du cas d'espèce, il faut admettre la bonne foi (ch. 4652.01). À l'inverse, nul ne peut invoquer sa bonne foi si elle est incompatible avec l'attention que les circonstances permettaient d'exiger de lui. Ainsi, la condition de la bonne foi n'est pas réalisée lorsque le versement à tort d'une prestation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indues ont été acceptées en connaissance de leur caractère indu (ch. 4652.02). Commet une négligence grave celui qui, lors de la demande de prestation, de l'examen des conditions du droit, ou du paiement de la prestation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n'annonce pas une erreur de calcul qu'elle aurait facilement pu reconnaître ( ch. 4652.03 ). b) En l'espèce, contrairement à ce qu'affirme la recourante, l'on ne saurait considérer qu'elle est de bonne foi. Les décisions d'octroi, dont celles des 21 novembre 2019 et 21 janvier 2025, comprenaient expressément l'obligation faite à l'intéressée de communiquer sans retard au Centre régional toute modification de sa situation familiale et/ou de revenu et de fortune, telle que le début ou la fin d'une activité lucrative, ce qu'elle n'a pas fait. La recourante affirme certes avoir transmis à l'autorité intimée tous les documents et pièces justificatives nécessaires attestant de sa situation et ne lui avoir rien caché. Ce n'est pourtant que près de six mois après le début de son arrêt maladie le 30 septembre 2024 qu'elle en a informé l'autorité intimée. Elle n'apporte pas non plus d'éléments qui attesteraient du fait qu'elle aurait informé cette dernière de son arrêt maladie avant le 27 mars 2025. Il ressort par ailleurs des feuilles de calcul, notamment de celle accompagnant la décision du 21 janvier 2025, qu'ont alors été pris en compte un revenu net d'activité lucrative (franchise déduite) et des frais d'obtention du revenu. Or, l'intéressée, du fait de son arrêt maladie, n'exerçait plus d'activité lucrative depuis le 30 septembre 2024. Une rapide vérification de sa part des décisions d'octroi des prestations complémentaires pour familles lui aurait permis de constater les erreurs effectuées par l'autorité intimée. Une telle vérification, dont la nécessité est d'ailleurs expressément indiquée sur les feuilles de calcul avec l'obligation d'avertir sans retard le Centre régional d'éventuelles erreurs, n'excède aucunement les démarches que l'on pouvait attendre de la recourante à réception des décisions d'octroi. En effet, il n'est pas nécessaire de disposer de connaissances très étendues pour comprendre ces feuilles de calcul fournies en annexe aux décisions et en particulier pour vérifier les montants indiqués dans chaque catégorie de revenus et informer l'autorité intimée de toute erreur effectuée. L'intéressée ne saurait se dédouaner de son obligation d'information en affirmant qu'elle pensait que les fautes de calcul relevaient de la responsabilité de l'autorité intimée. Au vu de ce qui précède, la bonne foi de la recourante devant être niée, il n'y a pas lieu d'examiner la réalisation de la seconde condition prévue par l'art. 28 al. 2 LPCFam, dont elle se prévaut, soit que la restitution de la somme indûment perçue la mettrait dans une situation difficile. C'est ainsi à juste titre que l'autorité intimée a refusé d'accorder la remise demandée. L'on peut enfin relever que les difficultés financières ou une situation précaire, qu'invoque la recourante, peuvent justifier des prestations d'aide sociale (subsidiaires), mais elles ne sont pas un motif, dans le système des prestations complémentaires pour familles, d'accorder des prestations en dehors des cas prévus expressément par la loi.</w:t>
      </w:r>
    </w:p>
    <w:p>
      <w:r>
        <w:rPr>
          <w:b/>
        </w:rPr>
        <w:t>E. 6</w:t>
      </w:r>
    </w:p>
    <w:p>
      <w:r>
        <w:t>Vu les considérants qui précèdent, le recours doit être partiellement admis et la décision attaquée réformée en ce sens que la recourante a droit à une PCFam mensuelle de 66 fr. du 1 er janvier au 31 mars 2025, soit 198 fr. pour ces trois mois, et doit restituer, pour la période du 1 er octobre 2024 au 31 mars 2025, un montant total de 1'770 fr., correspondant à 1'050 fr. pour la période du 1 er octobre au 31 décembre 2024, auxquels s'ajoutent 720 fr. pour la période du 1 er janvier au 31 mars 2025. Cette décision est confirmée pour le surplus. Il n'est pas perçu de frais de justice (art. 4 al. 3 du tarif du 28 avril 2015 des frais judiciaires et des dépens en matière administrative [TFJDA; BLV 173.36.5.1]). La recourante, qui n'est pas assistée d'un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