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PS.2025.0021 vom 11. August 2025</w:t>
      </w:r>
    </w:p>
    <w:p>
      <w:r>
        <w:t>VD Tribunal cantonal, 2025-08-11, FR</w:t>
      </w:r>
    </w:p>
    <w:p>
      <w:r>
        <w:rPr>
          <w:b/>
        </w:rPr>
        <w:t xml:space="preserve">Quelle: </w:t>
      </w:r>
      <w:r>
        <w:t>https://mcp.opencaselaw.ch/entscheid/vd_omni_PS.2025.0021</w:t>
      </w:r>
    </w:p>
    <w:p>
      <w:r>
        <w:t>FR: VD_OMNI PS.2025.0021 du 11 août 2025</w:t>
      </w:r>
    </w:p>
    <w:p>
      <w:r>
        <w:t>IT: VD_OMNI PS.2025.0021 del 11 agosto 2025</w:t>
      </w:r>
    </w:p>
    <w:p>
      <w:pPr>
        <w:pStyle w:val="Heading2"/>
      </w:pPr>
      <w:r>
        <w:t>Regeste</w:t>
      </w:r>
    </w:p>
    <w:p>
      <w:r>
        <w:t>A.________ et B.________/Direction générale de la cohésion sociale (DGCS), CENTRE SOCIAL REGIONAL NYON-ROLLE | Rejet du recours contre une décision de la DGCS ordonnant aux recourants la restitution du RI perçu entre janvier 2016 et octobre 2019 (74'942 fr.) ainsi que 3'718 fr. perçus indûment entre 2013 et 2015. Selon le rapport d'enquête diligenté par le CSR, à partir de 2016, les recourants ont immatriculé plus d'une vingtaine de véhicules avec six plaques d'immatriculation différentes. Depuis 2018, le recourant est directeur d'une Sàrl sise à Genève et a perçu deux versements sur des comptes non déclarés au CSR. Les recourants n'apportent aucune explication crédible sur ces deux activités. La cour retient l'existence d'un faisceau d’indices suffisant permettant de retenir que les recourants bénéficiaient d'autres revenus afin de satisfaire leurs besoins courants et ceci à tout le moins dès le 1er janvier 2016 et jusqu'en octobre 2019. Pour la période antérieure, les recourants ont envoyé de l'argent à l'étranger qui aurait dû être affecté à leur entretien. Ils n'apportent aucune pièce permettant d'étayer leurs allégations, de surcroît contradictoires. La décision est également confirmée s'agissant de la restitution ordonnée pour cette période. Les recourants ne sauraient invoquer leur bonne foi. L'ampleur, la durée, la complexité et la répétition des dissimulations constatées tendent plutôt à dévoiler un comportement abusif érigé en système, qui pourrait être susceptible de sanctions pénales.</w:t>
      </w:r>
    </w:p>
    <w:p>
      <w:pPr>
        <w:pStyle w:val="Heading2"/>
      </w:pPr>
      <w:r>
        <w:t>Erwägungen</w:t>
      </w:r>
    </w:p>
    <w:p>
      <w:r>
        <w:rPr>
          <w:b/>
        </w:rPr>
        <w:t>E. 1</w:t>
      </w:r>
    </w:p>
    <w:p>
      <w:r>
        <w:t>Déposé en temps utile (cf.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w:t>
      </w:r>
    </w:p>
    <w:p>
      <w:r>
        <w:rPr>
          <w:b/>
        </w:rPr>
        <w:t>E. 2</w:t>
      </w:r>
    </w:p>
    <w:p>
      <w:r>
        <w:t>a) Aux termes de l'art. 38 de la loi cantonale du 2 décembre 2003 sur l'action sociale vaudoise (LASV; BLV 850.051),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du règlement d'application du 26 octobre 2005 de la LASV (RLASV; BLV 850.051.1) prévoit dans le même sens que chaque membre du ménage aidé doit déclarer sans délai à l'autorité d'application tout fait nouveau de nature à modifier le montant des prestations allouées ou à justifier leur suppression (al. 1), et précise que constituent des faits nouveaux au sens de cette disposition notamment le début d'une activité lucrative ou l'augmentation de la rémunération d'une telle activité (al. 2 let. a). L’art. 39c al. 1 LASV ajoute à cet égard qu’une enquête peut être ordonnée lorsque l'autorité d'application s'estime insuffisamment renseignée sur la situation financière ou personnelle d'un bénéficiaire. L’art. 40 al. 1 LASV prévoit en outre que la personne au bénéfice d’une aide doit collaborer avec l’autorité d’application. Les art. 38 et 40 LASV posent clairement l'obligation pour le requérant de collaborer à l'établissement des faits propres à rendre au moins vraisemblable le besoin d'aide qu'il fait valoir. Il n'appartient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Ainsi,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En effet, les parties sont tenues de collaborer à la constatation des faits notamment dans une procédure qu'elles introduisent elles-mêmes ou lorsqu'elles adressent une demande à l'autorité dans leur propre intérêt (cf. art. 30 al. 1 LPA-VD; voir aussi ATF 148 II 465 consid. 8.4 p. 470 s.). La maxime inquisitoire applicable dans la procédure en matière d' aide sociale ne dispense ainsi pas le requérant de l'obligation d'exposer les circonstances déterminantes pour fonder son droit. Son devoir de collaborer ne libère pas l'autorité compétente de son devoir d'établir les faits mais limite son obligation d'instruire. Le devoir de collaborer ne peut toutefois être soumis à des exigences trop grandes. On ne peut ainsi exiger des intéressés qu'ils fournissent des documents qu'ils n'ont pas ou qu'ils ne peuvent se procurer sans complication notable. S'agissant du besoin d'assistance, la preuve exigible doit porter sur l'état d'indigence.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 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doit donner les informations nécessaires et verser les documents requis au dossier. Comme il est naturellement plus aisé de prouver l'avoir que l'absence d'avoir, il y a lieu de poser une limite raisonnable à l'obligation légale d'apporter la preuve, ainsi qu'à l'exigence relative à la présentation d'un dossier complet (arrêts TF 8C_702/2015 du 15 juin 2016 consid. 6.2.1; 8C_50/2015 du 17 juin 2015 consid. 3.2.1; arrêts CDAP PS.2021.0068 du 29 avril 2022 consid. 3c/bb; PS.2017.0033 du 25 mai 2018 consid. 2a). La sanction d'un défaut de collaboration consiste en ce que l'autorité statue en l'état du dossier constitué (cf. art. 30 al. 2 LPA-VD), considérant que le fait en cause n'a pas été prouvé (v. Pierre Moor/Etienne Poltier, Droit administratif, Volume II, Les actes administratifs et leur contrôle, 3 ème éd., Berne 2011, ch. 2.2.6.3, p. 294 s. et les références citées; cf. également ATF 148 II 465 consid. 8.4 p. 470 s.; arrêts CDAP PS.2015.0104 du 4 novembre 2016 consid. 2b; PS.2016.0027 du 24 juin 2016 consid. 2b; PS.2015.0112 du 13 mai 2016 consid. 4a). L’autorité sera ainsi amenée cas échéant à considérer que l’intéressé n’a pas prouvé qu’il était dépourvu des moyens nécessaires pour satisfaire ses besoins vitaux et à prononcer une décision de suspension ou de suppression des prestations (arrêts CDAP PS.2018.0010 du 22 novembre 2018; PS.2016.0025 du 28 septembre 2016; PS.2012.0084 du 11 décembre 2012; PS.2010.0027 du 11 octobre 2010; PS.2008.0027 du 12 décembre 2008 et les références citées). Lorsque les preuves font défaut, ou si l'on ne peut raisonnablement exiger de l'autorité qu'elle les recueille, la règle de l'art. 8 CC est applicable. Selon un principe général, il appartient à celui qui allègue un fait de façon à en déduire un droit d'en apporter la preuve et de supporter les conséquences de l'échec de cette preuve (ATF 144 II 332 consid. 4.1.3 p. 337; 143 II 646 consid. 3.3.8 p. 660; arrêt CDAP PS.2020.0095 du 13 juillet 2021 consid. 3a).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II 406 consid. 3.1 p. 410; 144 V 427 consid. 3.2; 139 V 176 consid. 5.3; arrêts CDAP PS.2022.0061 du 19 octobre 2022 consid. 2a; PS.2019.0008 du 17 janvier 2020 consid. 3b). b) En l'espèce, même si la décision de l'autorité concernée a été partiellement réformée par la DGCS, la décision attaquée a fixé l'obligation faite aux recourants de rembourser un montant de 78'660 fr. 10 correspondant au montant total de l'aide perçue entre janvier 2016 et octobre 2019 ainsi qu'à certaines opérations bancaires effectuées entre le 1 er octobre 2013 et le 31 octobre 2019. aa) S'agissant de la période écoulée entre janvier 2016 et octobre 2019, l a décision attaquée retient tout d’abord que dans la mesure où il s'est retrouvé dans l'impossibilité de vérifier l'indigence des recourants, le CSR était fondé à supprimer leur droit au RI . La décision retient tout d'abord que les recourants ont immatriculé entre 2013 et 2019 un total de 27 véhicules à leur nom, ce que les recourants ne contestent pas. Les recourants ont toutefois fait valoir devant les instances précédentes qu'ils n'avaient pas tiré de bénéfice de la vente de ces véhicules et qu'ils les avaient revendus au prix d'achat par peur de perdre de l'argent. Cela étant, ils n'ont produit aucune pièce étayant ces allégations. Dans la décision entreprise, l'autorité intimée a estimé que cette activité avait forcément dû être plus rentable que ce que les recourants voulaient admettre dans la mesure où elle s'est poursuivie durant sept ans. Elle a néanmoins relevé que l'activité liée à l'achat et à la vente de véhicules n'avait réellement pris de l'ampleur qu'à partir de 2016 avec dès cette année-là au minimum quatre véhicules immatriculés par année. Dans leur recours, les recourants font valoir que " la pratique de l'achat et de la revente de véhicules à des prix très marginaux (entre 300 et 1'200 francs) a été exclusivement destinée à assurer une rentrée d'argent suffisante pour subvenir aux besoins essentiels de la famille ". La cour relève d'abord que les recourants n'ont produit aucune pièce au sujet de cette activité d'achat et de vente de véhicules. Par ailleurs, il ne ressort ni des comptes bancaires annoncés ni des comptes bancaires non déclarés une quelconque activité qui paraisse en lien avec l'achat et la vente de véhicules. De plus, après avoir affirmé devant l'autorité intimée qu'ils n'avaient pas dégagé de bénéfice avec cette activité, les recourants semblent désormais admettre dans leur recours avoir déployé cette activité dans le but d'assurer " une rentrée d'argent suffisante pour subvenir aux besoins estimés de la famille ". Le fait que les recourants aient déployé une véritable activité d'achat et de revente de véhicules est confirmé par le fait qu'ils ont utilisé six plaques d'immatriculation différentes dont certaines ont servi à immatriculer jusqu'à 11 véhicules différents, principalement dès décembre 2016. Cette pratique s'est poursuivie jusqu'en 2019. Les éléments de fait exposés ci-dessus constituent de sérieux indices que les recourants ont exercé une activité indépendante sans l'annoncer au CSR, activité dont il est désormais impossible de déterminer l'ampleur en l'absence de toute pièce justificative. Par ailleurs, les recourants ont eux-mêmes admis devant la cour de céans s'être livrés à l'achat et à la vente de véhicules dans le but de dégager un bénéfice. En l'absence de toute justification de leur part, ils couraient le risque, au vu de l'opacité de leur situation financière, que l'autorité considère qu'ils n'étaient pas indigents. La décision attaquée souligne également que le rapport d'enquête a mis en évidence que le recourant était inscrit comme directeur de C.________ Sàrl depuis la fondation de cette société, ce qu'il ne conteste pas. Elle relève qu'en sus, les relevés bancaires d'un compte non annoncé par le couple attestent que le recourant a reçu deux versements respectivement le 3 juin et le 1 er juillet 2019 de 6'500 fr. de la part de cette société. Invité à se déterminer, le recourant a fait valoir devant l'autorité intimée qu'il avait accepté d'être nommé directeur de la société pour permettre à son associé-gérant et unique titulaire des parts sociales mais domicilié en France de fonder ladite société en Suisse. A titre de preuve, il a produit une attestation datée du 13 avril 2018 (soit le jour de la fondation de la société) selon laquelle: "Monsieur A.______ a été nommé directeur de la société sans aucun profit uniquement pour rendre service à son ami E.______, car ce dernier ne peut pas créer de société en Suisse sans y résider. Monsieur A.______ est tout de même appelé de temps à autre pour travailler, lorsqu'il y a beaucoup de travail et que le gérant E.______ n'arrive pas à finir seul". Le recourant a également produit une attestation non datée selon laquelle C.________ Sàrl confirme lui avoir versé un salaire net de 6'500 fr. sur son compte bancaire en juin 2019, montant correspondant " aux jours travaillés de janvier à juin 2019 inclus ". Était joint un certificat de salaire de l'année 2019 attestant que le recourant avait perçu un salaire net de 6'538 fr. pour cette année. L'attestation en question relevait également ce qui suit: "Monsieur A.______ a aussi reçu un deuxième versement de CHF 6'500.00 sur son compte bancaire au mois de juillet 2019. Ce deuxième versement est dû à une erreur de notre comptabilité. Par la suite, au mois de juillet 2019, Monsieur A.______ a retiré cette somme de son compte bancaire et l'a retournée à notre comptabilité en espèce". L'autorité intimée a estimé dans la décision entreprise qu'il apparaissait peu crédible que le recourant ait accepté d'assumer une fonction de directeur sans rémunération. Elle a également relevé que le recourant avait allégué avoir reçu la somme de 6'500 fr. de la part de son ami afin de l'aider à se débarrasser de ses poursuites tout en produisant une attestation selon laquelle il s'agissait en réalité d'une rémunération pour une activité lucrative. S'agissant de l'attestation non datée précitée, elle a relevé que le compte bancaire du recourant ne présentait aucune trace d'un débit de 6'500 fr. contrairement aux explications fournies par le recourant. L'autorité intimée a donc retenu que le recourant avait joué le rôle effectif de directeur de la société et qu'il en avait tiré des revenus dont l'ampleur ne pouvait pas être établie. Dans son recours, le recourant fait à nouveau valoir qu'il exerce ce rôle de directeur " à titre de service envers un ami ". Il admet avoir reçu une rémunération de 6'500 fr. correspondant " à une rémunération modeste pour une activité ponctuelle et marginale " et explique que le versement subséquent de 6'500 fr. également, a été immédiatement restitué en espèces à la société mais n'apporte pas la preuve de cette déclaration (les comptes bancaires du recourant ne font notamment pas état d'un retrait en espèces de 6'500 francs). Quoi qu'en dise le recourant, les éléments de fait exposés ci-dessus constituent de sérieux indices que le recourant a exercé une activité lucrative de plus grande ampleur que les revenus qu'il a finalement admis devant l'autorité intimée (6'500 francs). A ce titre, on soulignera qu'en sus des deux versements non déclarés, le rapport d'enquête a également mis en lumière que le recourant semblait véritablement actif pour le compte de cette société puisque le jour du passage des enquêteurs, il leur a été indiqué que le recourant se trouvait sur un chantier pour le compte de cette société. Confrontés à ces indices, les recourants auraient pu les infirmer en donnant plus de détails sur le fonctionnement de C.________ Sàrl et sur le véritable rôle du recourant au sein de cette société. Or, ils se sont contentés de donner des explications contradictoires. Au demeurant, on notera que les recourants ne touchent plus le RI depuis novembre 2019 et que le recourant exerce toujours la fonction de directeur de C.________ Sàrl. Ces éléments sont propres à confirmer que le recourant a exercé une activité lucrative pour le compte de C.________ Sàrl. Ainsi, il y a lieu d'admettre que c'est manifestement à juste titre que l'autorité intimée a estimé qu'il existait un faisceau d’indices suffisant permettant de retenir que les recourants bénéficiaient d'autres revenus afin de satisfaire leurs besoins courants et ceci à tout le moins dès le 1 er janvier 2016 et jusqu'en octobre 2019 pendant toute la période durant laquelle des prestations d’assistance leur ont été servies (voir de même arrêts CDAP PS.2023.0042 du 30 janvier 2024 consid. 3c; PS.2012.0091 du 12 février 2013). Ces éléments tendent à démontrer, avec un degré de vraisemblance prépondérant, que l’indigence des recourants entre le 1 er juin 2016 et le 31 octobre 2019 n’a pas été établie, de sorte que les recourants doivent en principe restituer l'intégralité du montant perçu au titre du RI durant cette période (cf. aussi arrêts CDAP PS.2016.0025 du 28 septembre 2016 consid. 4d; PS.2016.0027 du 24 juin 2016 consid. 4a). c) Dans un second temps et s'agissant de la période entre le 1 er octobre 2013 et le 31 décembre 2015, l'autorité intimée a estimé qu'on ne pouvait pas partir du principe que l'indigence des recourants n'était pas établie pour cette période, dans la mesure où l'activité du recourant chez C.________ Sàrl n'avait pas encore commencé (ladite société a été créée en 2018) et que l'activité des recourants en lien avec l'achat et la vente de voitures n'avait pas encore pris de l'ampleur. A ce sujet, il ressort effectivement du rapport d'enquête que les recourants n'ont immatriculé que trois véhicules entre 2013 et 2015. L'autorité intimée a toutefois relevé que les recourants avaient procédé à des transferts d'argent à l'étranger pour un total de 3'518 fr. 09 durant cette période et qu'ils avaient également reçu 200 fr. en février 2014 sans justification. Elle a donc estimé qu'il était justifié de fixer le RI perçu indument par les recourants durant cette période à 3'718 fr. 09 dans la mesure où cet argent aurait dû être affecté à l'entretien de la famille. Les recourants exposent qu'ils ont reçu de l'argent de la part de leur famille par Western Union dans une période de grande détresse financière. Il est toutefois constaté que l'autorité intimée n'a demandé le remboursement aux recourants que des sommes qu'ils avaient eux-mêmes envoyées à l'étranger et non des sommes perçues. D'ailleurs, il ne ressort pas du rapport d'enquête que les recourants ont reçu de l'argent de l'étranger durant cette période. Cet argument peut donc être écarté même s'il paraît par surabondance douteux que les recourants auraient pu bénéficier d'une aide extérieure de la part de leur famille tout en percevant le RI, ce qui ne les dispensait de toute façon pas d'annoncer au CSR avoir reçu ces sommes. S'agissant des sommes envoyées à l'étranger, les recourants font valoir dans leur recours qu'elles n'avaient " jamais eu vocation à constituer un revenu régulier, mais bien à pallier des besoins urgents et imprévus ". Ce faisant, les recourants semblent revenir sur les explications apportées au CSR, devant lequel ils avaient exposé que la grande majorité de ces envois d'argent avaient été faits pour le compte d'amis qui n'avaient pas le temps de le faire eux-mêmes ou qui n'avaient pas de statut légal en Suisse leur permettant de le faire. Quoi qu'il en soit, à nouveau confrontés à un faisceau d'indices, les recourants n'apportent aucune pièce permettant d'étayer leurs allégations, de surcroît contradictoires. Le tribunal considère dès lors que la décision entreprise, qui fixe le montant perçu indument par les recourants à 78'660 fr. 10, ne prête pas flanc à la critique.</w:t>
      </w:r>
    </w:p>
    <w:p>
      <w:r>
        <w:rPr>
          <w:b/>
        </w:rPr>
        <w:t>E. 3</w:t>
      </w:r>
    </w:p>
    <w:p>
      <w:r>
        <w:t>Les recourants soutiennent dans leur recours que les activités déployées l'ont été " dans un contexte de précarité et de solidarité, sans intention de dissimulation ". Ils invoquent la protection de leur bonne foi, faisant notamment valoir des difficultés de communication et de gestion administrative. a)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(CDAP PS.2021.0060 du 11 janvier 2022 consid. 2c et les réf. cit.). b) En l'espèce, c'est à tort que les recourants se prévalent de leur bonne foi. Comme le souligne l'autorité intimée dans sa décision, tout au long du suivi de leur dossier, le CSR a eu de nombreux contacts non seulement avec les recourants mais aussi avec leurs proches, notamment leur belle-sœur qui s'est occupée de leur traduire les informations importantes. Ces dernières leur ont également été transmises en albanais lors du dépôt de la demande de RI en 2013. Il s'ajoute à cela qu'il ressort du journal social qu'en 2014, les recourants ont reçu un avertissement de la part du CSR lorsque ce dernier s'est aperçu qu'ils avaient omis de déclarer un revenu perçu par la recourante. A la suite de cela, le CSR a pris contact avec la belle-sœur du recourant pour s'assurer que les recourants avaient bien compris le fonctionnement du RI et la manière de remplir les questionnaires mensuels. Les recourants ne sauraient dès lors se prévaloir d'un problème de communication ou de difficultés dans la gestion administrative de leurs affaires. Ils savaient que l'octroi du RI allait de pair avec le respect de certaines obligations, notamment d'annoncer leur revenu ainsi que toutes les ressources dont ils pouvaient bénéficier. Or, l'instruction du dossier effectuée par le CSR a permis de mettre en lumière que les recourants avaient non seulement omis de déclarer des comptes bancaires dont ils étaient pourtant titulaires mais aussi qu'ils avaient perçu des rentrées d'argent sur ces comptes bancaires. L'instruction a également permis d'établir avec des indices suffisants que le recourant exerçait une activité pour le compte de C.________ Sàrl et qu'il obtenait un revenu avec cette activité dont l'ampleur ne peut pas être établie. Même si le recourant a bien annoncé avoir conclu un contrat de travail sur appel avec cette société, il ne ressort pas du dossier qu'il a annoncé avoir touché un revenu de la part de cette dernière. Or, il est établi par pièce que le recourant a perçu un salaire en 2019 avec cette activité, salaire qu'il n'a pas annoncé au CSR. L'enquête diligentée par le CSR a aussi mis en lumière que les recourants se livraient à une activité d'achats et de ventes de véhicules, ce qu'ils ont d'ailleurs admis dans la présente procédure. Là non plus, ils n'ont pas jugé utile d'informer le CSR alors même qu'ils étaient informés de leur devoir d'annonce et de collaboration. En réalité, l'ampleur, la durée, la complexité et la répétition des dissimulations constatées ci-dessus tendent plutôt à dévoiler un comportement abusif érigé en système, qui pourrait être susceptible de sanctions pénales. Il s'ensuit que c'est à juste titre que l'autorité intimée a confirmé l'obligation pour les recourants de restituer un montant de 78'660 fr. 10 au titre de RI indûment perçu.</w:t>
      </w:r>
    </w:p>
    <w:p>
      <w:r>
        <w:rPr>
          <w:b/>
        </w:rPr>
        <w:t>E. 4</w:t>
      </w:r>
    </w:p>
    <w:p>
      <w:r>
        <w:t>Les considérants qui précèdent conduisent au rejet du recours et à la confirmation de la décision attaquée. Il est statué sans frais judiciaires (art. 4 al. 3 du Tarif du 28 avril 2015 des frais judiciaires et des dépens en matière administrative [BLV 173.36.5.1])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