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PS.2025.0011 vom 15. Oktober 2025</w:t>
      </w:r>
    </w:p>
    <w:p>
      <w:r>
        <w:t>VD Tribunal cantonal, 2025-10-15, FR</w:t>
      </w:r>
    </w:p>
    <w:p>
      <w:r>
        <w:rPr>
          <w:b/>
        </w:rPr>
        <w:t xml:space="preserve">Quelle: </w:t>
      </w:r>
      <w:r>
        <w:t>https://mcp.opencaselaw.ch/entscheid/vd_omni_PS.2025.0011</w:t>
      </w:r>
    </w:p>
    <w:p>
      <w:r>
        <w:t>FR: VD_OMNI PS.2025.0011 du 15 octobre 2025</w:t>
      </w:r>
    </w:p>
    <w:p>
      <w:r>
        <w:t>IT: VD_OMNI PS.2025.0011 del 15 ottobre 2025</w:t>
      </w:r>
    </w:p>
    <w:p>
      <w:pPr>
        <w:pStyle w:val="Heading2"/>
      </w:pPr>
      <w:r>
        <w:t>Regeste</w:t>
      </w:r>
    </w:p>
    <w:p>
      <w:r>
        <w:t>A.________/Direction générale de la cohésion sociale (DGCS), CENTRE SOCIAL REGIONAL NYON-ROLLE | Confirmation de l'avertissement prononcé à l'encontre du recourant, bénéficiaire du RI, faute pour lui de se présenter aux rendez-vous fixés par le CSR. Le recourant présente certes une allergie sévère à l'izothiazolinone, mais il n'a pas produit de certificat médical suffisamment clair, complet et circonstancié démontrant une incapacité à se rendre dans les locaux du CSR. Quant aux explications du recourant lui-même, elles sont certes détaillées, mais consistent en de simples allégués de partie, dont la véracité doit être corroborée par un certificat médical explicite et convaincant. A cela s'ajoute qu'il dispose de la possibilité de participer aux entretiens en visio-conférence, aux conditions posées par le CSR.</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pour le surplus été formé en temps utile (art. 95 LPA‑VD) et il satisfait aux autres conditions de recevabilité (art. 79 al. 1, applicable par renvoi de l'art. 99 LPA‑VD). Il y a donc lieu d’entrer en matière.</w:t>
      </w:r>
    </w:p>
    <w:p>
      <w:r>
        <w:rPr>
          <w:b/>
        </w:rPr>
        <w:t>E. 2</w:t>
      </w:r>
    </w:p>
    <w:p>
      <w:r>
        <w:t>Le litige porte sur la question de savoir si la DGCS était fondée à confirmer l'avertissement prononcé le 20 janvier 2023 à l'encontre du recourant, faute pour celui-ci de respecter son obligation de collaborer.</w:t>
      </w:r>
    </w:p>
    <w:p>
      <w:r>
        <w:rPr>
          <w:b/>
        </w:rPr>
        <w:t>E. 3</w:t>
      </w:r>
    </w:p>
    <w:p>
      <w:r>
        <w:t>Le recourant fait valoir que le CSR l'a informé, le 12 décembre 2024, du fait que son avertissement avait été annulé à la suite de l'arrêt PS.2024.0022. On rappelle qu'en raison de l'effet dévolutif du recours, la compétence de traiter l'affaire est passée à la DGCS dès le dépôt du recours auprès de cette autorité (ATF 136 V 2 consid. 2; CDAP PS.2018.0051 du 6 août 2018 consid. 2b; Benoît Bovay, Procédure administrative, 2 e éd. 2015, p. 574). De plus, l'arrêt de la CDAP PS.2024.0022 du 19 juillet 2024 qui admettait le recours formé contre la décision d'irrecevabilité de la DGCS, a renvoyé le dossier à cette autorité pour qu'elle entre en matière sur le recours. A juste titre au vu des circonstances, la DGCS n'a elle-même pas renvoyé la cause au CSR (sur cette question, cf. TF 1C_723/2024 du 19 décembre 2024 consid. 1.2.1). Par conséquent, le CSR ne disposait pas de la compétence pour reprendre la cause du recourant. Au demeurant, le CSR admet lui-même que les indications contenues dans son courrier du 12 décembre 2024 résultent d'une mauvaise interprétation de l'arrêt PS.2024.0022 et qu'il n'a pas annulé l'avertissement objet du litige. Ce grief est donc irrecevable.</w:t>
      </w:r>
    </w:p>
    <w:p>
      <w:r>
        <w:rPr>
          <w:b/>
        </w:rPr>
        <w:t>E. 4</w:t>
      </w:r>
    </w:p>
    <w:p>
      <w:r>
        <w:t>Après un avertissement écrit et motivé, l'autorité peut réduire le RI et le supplément prévu par l'article 31, alinéa 2 ter LASV lorsque le bénéficiaire ne respecte pas, sans motif valable, le contrat d'insertion conclu.</w:t>
      </w:r>
    </w:p>
    <w:p>
      <w:r>
        <w:rPr>
          <w:b/>
        </w:rPr>
        <w:t>E. 5</w:t>
      </w:r>
    </w:p>
    <w:p>
      <w:r>
        <w:t>Mal fondé, le recours doit être rejeté et la décision attaquée confirmée. L'arrêt est rendu sans frais, la procédure dans les affaires de prestations sociales étant gratuite (art. 4 al. 3 du Tarif du 28 avril 2015 des frais judiciaires et des dépens en matière administrative [TFJDA; BLV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