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PS.2025.0001 vom 17. März 2025</w:t>
      </w:r>
    </w:p>
    <w:p>
      <w:r>
        <w:t>VD Tribunal cantonal, 2025-03-17, FR</w:t>
      </w:r>
    </w:p>
    <w:p>
      <w:r>
        <w:rPr>
          <w:b/>
        </w:rPr>
        <w:t xml:space="preserve">Quelle: </w:t>
      </w:r>
      <w:r>
        <w:t>https://mcp.opencaselaw.ch/entscheid/vd_omni_PS.2025.0001</w:t>
      </w:r>
    </w:p>
    <w:p>
      <w:r>
        <w:t>FR: VD_OMNI PS.2025.0001 du 17 mars 2025</w:t>
      </w:r>
    </w:p>
    <w:p>
      <w:r>
        <w:t>IT: VD_OMNI PS.2025.0001 del 17 marzo 2025</w:t>
      </w:r>
    </w:p>
    <w:p>
      <w:pPr>
        <w:pStyle w:val="Heading2"/>
      </w:pPr>
      <w:r>
        <w:t>Regeste</w:t>
      </w:r>
    </w:p>
    <w:p>
      <w:r>
        <w:t>A.________/Direction générale de la cohésion sociale (DGCS), Centre social régional de Lausanne Service social Lausanne | Recours dépourvu de signature et vice non réparé, malgré l'invitation en ce sens de l'autorité inférieure de recours avec avis que sans nouvelles, elle considérerait le recours comme étant retiré. La recourante se prévaut sans doute de son absence du domicile pour raison de vacances à l'époque de la notification de cet avis; toutefois, étant partie à une procédure, elle devait compter avec la possibilité que des actes judiciaires lui soient notifiés après le dépôt de son recours, de sorte qu’il lui appartenait de prendre les mesures nécessaires pour relever son courrier et s'organiser en conséquence durant son absence éventuelle. Dans ces conditions, l’autorité intimée n’a pas fait preuve en la présente circonstance d’un formalisme excessif en tenant le recours pour retiré et en rayant la cause du rôle. Bien fondée, la décision attaquée doit être confirmée.</w:t>
      </w:r>
    </w:p>
    <w:p>
      <w:pPr>
        <w:pStyle w:val="Heading2"/>
      </w:pPr>
      <w:r>
        <w:t>Erwägungen</w:t>
      </w:r>
    </w:p>
    <w:p>
      <w:r>
        <w:rPr>
          <w:b/>
        </w:rPr>
        <w:t>E. 1</w:t>
      </w:r>
    </w:p>
    <w:p>
      <w:r>
        <w:t>a) La loi cantonale du 2 décembre 2003 sur l'action sociale vaudoise (LASV; BLV 850.051) renvoie, à son art. 74 al. 2, 2 ème phrase, à la LPA-VD,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LPA-VD, le recours est intervenu en temps utile. Il satisfait également aux conditions formelles énoncées par l'art. 79 LPA-VD. Il y a donc lieu d'entrer en matière.</w:t>
      </w:r>
    </w:p>
    <w:p>
      <w:r>
        <w:rPr>
          <w:b/>
        </w:rPr>
        <w:t>E. 2</w:t>
      </w:r>
    </w:p>
    <w:p>
      <w:r>
        <w:t>L’autorité intimée a rayé la cause du rôle au motif que l’acte de recours, non signé, n’avait pas été régularisé par son auteur dans le délai qui lui avait été imparti. a)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ème édition, Berne 2011, n° 5.3.1.1, p. 623 et ss, références citées). La recevabilité du recours est l’ensemble des conditions auxquelles la loi subordonne la saisine de l’autorité chargée d’une attribution contentieuse (ibid., n° 5.3.1.2, p. 624). Sont ainsi notamment visées les exigences formelles posées à l’emploi d’un moyen de droit et parmi celles-ci, la signature de l’acte de recours (ibid., n°5.8.1.1, p. 801). Le Tribunal fédéral a jugé pour sa part que l’interdiction du formalisme excessif exigeait des autorités administratives et du juge cantonal qu’ils octroient un bref délai au recourant pour corriger le vice, avant de déclarer irrecevable un recours qui n'est pas signé (ATF 142 V 152 consid. 4.4 p. 159; 142 I 10 consid. 2.4.6 p. 14; arrêts TF 2D_64/2014 du 2 avril 2015 consid. 5.3; 1C_39/2013 du 11 mars 2013 consid. 2.3, références citées; cf. ég. Moor/Poltier, n°5.8.1.5 p. 808). b) En la présente espèce, la décision du 22 octobre 2024 du CSR a été prise en application de l’art. 41 let. a LASV, aux termes duquel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Vu l'art. 74 LASV, cette décision pouvait faire l’objet d’un recours à la DGCS, la LPA-VD étant applicable. Les exigences de forme du recours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(al. 5, 1 ère phrase). Les écrits qui ne sont pas produits à nouveau dans ce délai, ou dont les vices ne sont pas corrigés, sont réputés retirés (ibid., 2 ème phrase). L'autorité informe les auteurs de ces conséquences (ibid., 3 ème phrase).</w:t>
      </w:r>
    </w:p>
    <w:p>
      <w:r>
        <w:rPr>
          <w:b/>
        </w:rPr>
        <w:t>E. 3</w:t>
      </w:r>
    </w:p>
    <w:p>
      <w:r>
        <w:t>a) Le 4 novembre 2024, la recourante a saisi l’autorité intimée d’un acte de recours contre la décision du 22 octobre 2024. Dépourvu de signature, cet acte ne respectait pas l’exigence de forme prescrite à l’art. 79 al. 1, 1 ère phrase, LPA-VD. Conformément à l’art. 27 al. 4 et 5, 1 ère phrase, LPA-VD, l’autorité intimée a retourné l’acte non signé à la recourante, le 11 novembre 2024, en lui impartissant un délai au 21 novembre 2024 pour régulariser celui-ci. Comme l’exige l’art. 27 al. 5, 2 ème et 3 ème phrases, LPA-VD, l’autorité intimée a expressément indiqué à la recourante que sans nouvelles de sa part dans ce délai, elle considérerait son recours comme étant retiré, ce qui implique qu'elle n'entre pas en matière sur celui-ci et raye la cause du rôle. Or, la recourante n’a donné aucune suite à cet avis, dont le contenu était pourtant dépourvu de toute ambiguïté et le pli recommandé contenant l'avis du 11 novembre 2024 a été retourné à l'autorité intimée. b) La recourante se prévaut dans son recours de son absence du domicile pour raison de vacances à l'époque de la notification litigieuse. Dans une situation de ce genre,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(arrêts TF 9C_494/2024 du 4 novembre 2024; 2C_183/2022 du 31 mai 2022 consid. 3.1 et les références). Cette fiction de notification ne s'applique cependant que si son destinataire devait s'attendre, avec une certaine vraisemblance, à recevoir une communication des autorités, ce qui est le cas chaque fois qu'il est partie, comme la recourante en l'espèce, à une procédure pendante (v., outre les arrêts précités, ATF 146 IV 30 consid. 1.1.2 p. 33; 137 III 208 consid. 3.1.2 p. 213/214; 134 V 49 consid. 4 p. 52; 130 III 396 consid. 1.2.3 p. 399). Une telle obligation signifie que le destinataire doit, le cas échéant, désigner un représentant, faire suivre son courrier, informer les autorités de son absence ou leur indiquer une adresse de notification (ATF 146 IV 30 consid. 1.1.2 p. 34; 141 II 429 consid. 3.1 p. 431 s.; 139 IV 228 consid. 1.1 p. 230 et les références citées). En l’occurrence, la recourante devait compter avec la possibilité que des actes judiciaires lui soient notifiés après le dépôt de son recours le 4 novembre 2024, de sorte qu’il lui appartenait de prendre les mesures nécessaires pour relever son courrier et s'organiser en conséquence durant son absence éventuelle. Partant, l'avis du 11 novembre 2024 lui impartissant un délai au 21 novembre 2024 pour régulariser l'acte de recours est réputé avoir été valablement notifié à la recourante à l'échéance du délai de garde de sept jours, soit le 18 novembre 2024. Or, la recourante a laissé s'écouler le délai en question, sans retourner l'acte de recours dûment signé à l'autorité intimée. c) Par conséquent, le vice dont l’acte du 4 novembre 2014 était entaché n’a pas été réparé malgré l’invitation faite en ce sens par l’autorité intimée. Dans ces conditions, l’autorité intimée n’a pas fait preuve en la présente circonstance d’un formalisme excessif en tenant le recours pour retiré et en rayant la cause du rôle. Bien fondée, la décision attaquée doit être confirmée.</w:t>
      </w:r>
    </w:p>
    <w:p>
      <w:r>
        <w:rPr>
          <w:b/>
        </w:rPr>
        <w:t>E. 4</w:t>
      </w:r>
    </w:p>
    <w:p>
      <w:r>
        <w:t>Les considérants qui précèdent conduisent au rejet du recours et à la confirmation de la décision attaquée. Le présent arrêt est rendu sans frais (cf. art. 4 al. 3 du tarif du 28 avril 2015 des frais judiciaires et des dépens en matière administrative [TFJDA;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