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PS.2024.0064 vom 28. März 2025</w:t>
      </w:r>
    </w:p>
    <w:p>
      <w:r>
        <w:t>VD Tribunal cantonal, 2025-03-28, FR</w:t>
      </w:r>
    </w:p>
    <w:p>
      <w:r>
        <w:rPr>
          <w:b/>
        </w:rPr>
        <w:t xml:space="preserve">Quelle: </w:t>
      </w:r>
      <w:r>
        <w:t>https://mcp.opencaselaw.ch/entscheid/vd_omni_PS.2024.0064</w:t>
      </w:r>
    </w:p>
    <w:p>
      <w:r>
        <w:t>FR: VD_OMNI PS.2024.0064 du 28 mars 2025</w:t>
      </w:r>
    </w:p>
    <w:p>
      <w:r>
        <w:t>IT: VD_OMNI PS.2024.0064 del 28 marzo 2025</w:t>
      </w:r>
    </w:p>
    <w:p>
      <w:pPr>
        <w:pStyle w:val="Heading2"/>
      </w:pPr>
      <w:r>
        <w:t>Regeste</w:t>
      </w:r>
    </w:p>
    <w:p>
      <w:r>
        <w:t>A.________/Direction générale de la cohésion sociale (DGCS), Centre social régional de Lausanne | Admission du recours et annulation de la décision réclamant à la recourante le remboursement d'un montant au titre de RI indûment perçu avec renvoi de la cause à l'autorité intimée pour complément d'instruction et nouvelle décision. Alors que la cause lui avait été précédemment renvoyée par la CDAP pour complément d'instruction, l'autorité intimée n'a pas procédé aux compléments d'instruction nécessaires ni donné à la recourante la possibilité d'expliquer comment les montants crédités sur son compte avaient pu être utilisés, cas échéant de produire des pièces à ce sujet. Or, il n'appartient pas au tribunal de reconstituer, comme s'il était l'instance précédente, l'état de fait ou la motivation qu'aurait dû comporter la décision attaquée.</w:t>
      </w:r>
    </w:p>
    <w:p>
      <w:pPr>
        <w:pStyle w:val="Heading2"/>
      </w:pPr>
      <w:r>
        <w:t>Erwägungen</w:t>
      </w:r>
    </w:p>
    <w:p>
      <w:r>
        <w:rPr>
          <w:b/>
        </w:rPr>
        <w:t>E. 1</w:t>
      </w:r>
    </w:p>
    <w:p>
      <w:r>
        <w:t>La décision rendue sur recours par la DGCS en application de la loi du 2 décembre 2003 sur l'action sociale vaudoise (LASV; BLV 850.051) peut faire l'objet d'un recours de droit administratif au Tribunal cantonal, au sens des art. 92 ss de la loi du 28 octobre 2008 sur la procédure administrative (LPA-VD; BLV 173.36). Le recours a été déposé en temps utile (art. 95 LPA-VD) et il respecte les autres conditions de recevabilité (notamment l'art. 79 LPA-VD, applicable par renvoi de l'art. 99 LPA-VD). Il convient dès lors d'entrer en matière sur le fond.</w:t>
      </w:r>
    </w:p>
    <w:p>
      <w:r>
        <w:rPr>
          <w:b/>
        </w:rPr>
        <w:t>E. 2</w:t>
      </w:r>
    </w:p>
    <w:p>
      <w:r>
        <w:t>L'objet du litige est circonscrit par le dispositif de l'arrêt PS.2021.0073 du 13 avril 2022, qui annule la décision de la DGCS du 23 septembre 2021 et lui renvoie la cause pour nouvelle instruction et nouvelle décision dans le sens des considérants (cf. supra, let. H). La décision de la DGCS du 23 septembre 2021 confirmait le remboursement de 127'128 fr. 75 correspondant aux aides versées entre le mois de mai 2012 et celui de décembre 2017. Cette décision a été annulée par la CDAP en raison du fait que l’instruction était incomplète et ne permettait ni de déterminer la situation de la recourante entre 2012 et 2017, ni de conclure à l’existence d’un concubinage entre A.________ et F.________. La décision de la DGCS fondait en effet le devoir de restitution de l’indu de la recourante sur l’existence d’une relation de concubinage entre les intéressés et le fait que les revenus et fortune de F.________ excédaient les barèmes autorisés pour un couple. Le tribunal a renvoyé la cause à l’autorité intimée afin qu’elle procède aux investigations nécessaires permettant d’établir l’existence d’un concubinage – ou non – durant la période litigieuse, notamment en requérant des indications postales, en entendant le couple, respectivement des tiers, pour établir ses modalités de vie, ainsi qu’en examinant les pièces médicales produites par la recourante à l’appui de son recours et l’influence éventuelle de son état de santé sur la possibilité de mener une vie en concubinage. Cela étant, le tribunal a renoncé à examiner les autres arguments soulevés par la recourante, en lien avec la capacité d’F.________ de l’entretenir. Il en est allé de même de la question du train de vie de la recourante et de l’utilisation de prélèvements effectués sur les comptes de sa mère puisque, si cette question était abordée dans un rapport d’enquête du 13 décembre 2017, elle n’avait pas fait l’objet d’investigations complémentaires et n’était pas mentionnée à l’appui de la décision querellée. La CDAP a considéré que, le cas échéant, il reviendrait à l’autorité intimée de procéder aux mesures d’instruction supplémentaires nécessaires. Après l’arrêt de renvoi, l’autorité intimée n’a procédé qu’à une seule nouvelle mesure d’instruction. Elle a fait signer à la recourante une déclaration de levée du secret médical et s’est adressée à Unisanté, à Lausanne, afin de se renseigner au sujet de la capacité de la recourante de mener une vie de couple, au regard de ses problèmes de santé. Unisanté ayant répondu que le seul intervenant dont l’avis pourrait éventuellement attester le maintien d’une relation était le psychiatre traitant, l’autorité intimée a avisé la recourante qu’elle statuerait en l’état du dossier. Dans la décision attaquée, l’autorité intimée explique qu’elle a renoncé à entreprendre de plus amples mesures d’instruction pour déterminer le mode de vie de la recourante avant 2012. Elle a également estimé qu’elle se trouvait dans l’impossibilité d’établir si l’état de santé de la recourante était compatible avec l’existence d’un concubinage qualifié, notamment eu égard à l’écoulement du temps et renoncé à mener de plus amples mesures d’instruction s’agissant de la situation à partir de 2012. En conséquence, l’autorité intimée n’a pas retenu l’existence d’un concubinage qualifié ou non entre la recourante et F.________ et a admis le recours sur ce point. L’autorité intimée a en revanche considéré que la recourante avait perçu indûment des prestations du RI en raison du fait qu’elle avait dissimulé des ressources qui la plaçaient au-delà des barèmes de revenus et de fortune autorisés. Or, l’autorité intimée ne s’était jusque-là encore jamais fondée sur les montants crédités sur le compte bancaire polonais de la recourante pour conclure que celle-ci avait indûment perçu des prestations du RI. Elle s’est cette fois-ci basée sur les rapports d’enquête établis en 2012 et 2017 ainsi que sur la constatation que des crédits avaient été effectués entre 2013 et 2017 sur un compte bancaire polonais dont la recourante est titulaire, soit sur des documents qui figuraient de longue date au dossier. Elle n’a cependant pas complété l’instruction à ce sujet. En particulier, elle n’a pas donné à la recourante la possibilité d’expliquer comment ces crédits avaient pu être utilisés ou de produire des pièces relatives à l’affectation des montants crédités. Le tribunal constate par ailleurs que la décision attaquée ne dit rien au sujet du montant de 24'160 fr. 95 versé au CSR en août 2018 à titre de prestations complémentaires de l’AI octroyées rétroactivement (cf. réponse du CSR du 25 novembre 2024). La décision est également muette au sujet de l’argument de la prescription, que la recourante invoque à l’appui de son recours. Or, il n’appartient pas au tribunal de reconstituer, comme s'il était l'instance précédente, l'état de fait ou la motivation qu'aurait dû comporter la décision attaquée (cf. arrêt CDAP arrêt GE.2018.0014 du 14 septembre 2018 consid. 2 et les réf. citées). Il s’ensuit que la décision doit être annulée et la cause renvoyée à l’autorité intimée pour compléter l’instruction et rendre une nouvelle décision (cf. art. 90 al. 2 LPA-VD, applicable par renvoi de l'art. 99 LPA-VD). Vu l’issue du recours, il n’y a pas lieu d'examiner les autres arguments soulevés par la recourante, notamment l'éventuelle violation de son droit d'être entendue, ni d'ordonner la production de pièces complémentaires.</w:t>
      </w:r>
    </w:p>
    <w:p>
      <w:r>
        <w:rPr>
          <w:b/>
        </w:rPr>
        <w:t>E. 3</w:t>
      </w:r>
    </w:p>
    <w:p>
      <w:r>
        <w:t>Le considérant qui précède conduit à l’admission du recours et à l’annulation de la décision attaquée, la cause étant renvoyée à l’autorité intimée pour qu’elle procède dans le sens du considérant 2 ci-dessus et rende une nouvelle décision. Il est statué sans frais (art. 4 al. 3 du Tarif du 28 avril 2015 des frais judiciaires et des dépens en matière administrative [TFJDA; BLV 173.36.5.1]). La recourante obtenant gain de cause à l'aide d'un avocat, elle a droit à une indemnité à titre de dépens, à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