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PS.2024.0022 vom 19. Juli 2024</w:t>
      </w:r>
    </w:p>
    <w:p>
      <w:r>
        <w:t>VD Tribunal cantonal, 2024-07-19, FR</w:t>
      </w:r>
    </w:p>
    <w:p>
      <w:r>
        <w:rPr>
          <w:b/>
        </w:rPr>
        <w:t xml:space="preserve">Quelle: </w:t>
      </w:r>
      <w:r>
        <w:t>https://mcp.opencaselaw.ch/entscheid/vd_omni_PS.2024.0022</w:t>
      </w:r>
    </w:p>
    <w:p>
      <w:r>
        <w:t>FR: VD_OMNI PS.2024.0022 du 19 juillet 2024</w:t>
      </w:r>
    </w:p>
    <w:p>
      <w:r>
        <w:t>IT: VD_OMNI PS.2024.0022 del 19 luglio 2024</w:t>
      </w:r>
    </w:p>
    <w:p>
      <w:pPr>
        <w:pStyle w:val="Heading2"/>
      </w:pPr>
      <w:r>
        <w:t>Regeste</w:t>
      </w:r>
    </w:p>
    <w:p>
      <w:r>
        <w:t>A.________/Direction générale de la cohésion sociale (DGCS), Centre social régional de Nyon-Rolle | Notion de décision susceptible de recours. Selon la jurisprudence, sont des décisions sujettes à recours les avertissements à caractère disciplinaire (ayant valeur de réprimande) constituant une étape préalable obligatoire à une sanction plus grave ou ceux qui, sans être impérativement nécessaires, préparent et favorisent une mesure ultérieure qui, autrement, pourrait être jugée contraire au principe de proportionnalité. En l'occurrence, le CSR a adressé au bénéficiaire du revenu d'insertion un courrier intitulé "avertissement", fondé sur l'art. 44 al. 1 let. b RLASV (dans sa version en vigueur depuis le 1er janvier 2017), lui indiquant qu'il n'a pas respecté ses obligations et que s'il persiste, l'autorité sera contrainte de rendre une décision de sanction. Selon l'art. 44 al. 1 let. b RLASV, "après lui avoir rappelé les conséquence de ses manquements et l'avoir entendu, l'autorité d'application peut réduire le RI lorsque le bénéficiaire ne donne pas suite aux injonctions de l'autorité". Le rappel des conséquences constitue ainsi une étape préalable obligatoire à une sanction plus grave et, partant, une décision susceptible de recours. Le recours formé contre la décision d'irrecevabilité de la DGCS est ainsi admis et la cause renvoyée pour nouvelle décision dans le sens des considérants.</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let. a, 79 al. 1 et 99 LPA‑VD), si bien qu’il y a lieu d’entrer en matière. Cela étant dit, face à une décision d'irrecevabilité, seule la question de la recevabilité du recours peut être portée devant la CDAP et non le bien-fondé ou le mal-fondé de la décision au fond.</w:t>
      </w:r>
    </w:p>
    <w:p>
      <w:r>
        <w:rPr>
          <w:b/>
        </w:rPr>
        <w:t>E. 2</w:t>
      </w:r>
    </w:p>
    <w:p>
      <w:r>
        <w:t>Un manque de collaboration du bénéficiaire, l'insuffisance de ses efforts pour retrouver une autonomie ou pour limiter sa prise en charge peuvent donner lieu à une réduction des prestations financières.</w:t>
      </w:r>
    </w:p>
    <w:p>
      <w:r>
        <w:rPr>
          <w:b/>
        </w:rPr>
        <w:t>E. 3</w:t>
      </w:r>
    </w:p>
    <w:p>
      <w:r>
        <w:t>Les injures, les menaces et les voies de fait, au sens du droit pénal, envers les collaborateurs des autorités d'application peuvent donner lieu à une réduction des prestations financières lorsqu'aucune plainte pénale n'est déposée pour les mêmes faits.</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Bien fondé, le recours doit être admis et la décision du 23 février 2024 annulée. Le dossier est renvoyé à l'autorité intimée pour qu'elle entre en matière sur le recours – si les autres conditions de recevabilité sont remplies – et rende une nouvelle décision. L'arrêt est rendu sans frais, la procédure dans les affaires de prestations sociales étant gratuite (art. 4 al. 3 du Tarif du 28 avril 2015 des frais judiciaires et des dépens en matière administrative [TFJDA; BLV 173.36.5.1]). Le recourant ayant eu gain de cause sans l'assistance d'un mandataire professionnel, il n'a pas droit à une indemnité à titre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