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PS.2023.0081 vom 15. Januar 2024</w:t>
      </w:r>
    </w:p>
    <w:p>
      <w:r>
        <w:t>VD Tribunal cantonal, 2024-01-15, FR</w:t>
      </w:r>
    </w:p>
    <w:p>
      <w:r>
        <w:rPr>
          <w:b/>
        </w:rPr>
        <w:t xml:space="preserve">Quelle: </w:t>
      </w:r>
      <w:r>
        <w:t>https://mcp.opencaselaw.ch/entscheid/vd_omni_PS.2023.0081</w:t>
      </w:r>
    </w:p>
    <w:p>
      <w:r>
        <w:t>FR: VD_OMNI PS.2023.0081 du 15 janvier 2024</w:t>
      </w:r>
    </w:p>
    <w:p>
      <w:r>
        <w:t>IT: VD_OMNI PS.2023.0081 del 15 gennaio 2024</w:t>
      </w:r>
    </w:p>
    <w:p>
      <w:pPr>
        <w:pStyle w:val="Heading2"/>
      </w:pPr>
      <w:r>
        <w:t>Regeste</w:t>
      </w:r>
    </w:p>
    <w:p>
      <w:r>
        <w:t>A.________/Bureau de recouvrement et d'avances de pensions alimentaires (BRAPA) | Recours irrecevable pour cause de tardiveté. Pas de motif de restitution.</w:t>
      </w:r>
    </w:p>
    <w:p>
      <w:pPr>
        <w:pStyle w:val="Heading2"/>
      </w:pPr>
      <w:r>
        <w:t>Erwägungen</w:t>
      </w:r>
    </w:p>
    <w:p>
      <w:r>
        <w:rPr>
          <w:b/>
        </w:rPr>
        <w:t>E. 1</w:t>
      </w:r>
    </w:p>
    <w:p>
      <w:r>
        <w:t>Par décision du 11 septembre 2023, le Bureau de recouvrement et d'avances de pensions alimentaires (BRAPA) a mis un terme à son intervention en faveur du fils de A.________ avec effet au 1 er août 2023 et a ordonné à l'intéressée la restitution d'un montant d'un 800 fr. à titre de prestation indûment perçues.</w:t>
      </w:r>
    </w:p>
    <w:p>
      <w:r>
        <w:rPr>
          <w:b/>
        </w:rPr>
        <w:t>E. 2</w:t>
      </w:r>
    </w:p>
    <w:p>
      <w:r>
        <w:t>Par acte remis à un office postal le 12 décembre 2023, A.________ a contesté cette décision devant la Cour de droit administratif et public du Tribunal cantonal (CDAP). A la requête de la juge instructrice, le BRAPA a produit l'extrait track and trace de la Poste suisse relatif à l'envoi de la décision attaquée. Il en ressort que le pli recommandé a été distribué à la recourante le 13 septembre 2023. Par ordonnance du 20 décembre 2023, la juge instructrice a rendu la recourante attentive à la tardiveté de son recours et lui a imparti un délai au 8 janvier 2024 – prolongé par la suite de cinq jours – pour fournir des explications à ce sujet ou pour retirer son recours. Dans une écriture du 11 janvier 2024, la recourante a indiqué qu'elle avait un petit salaire et qu'il lui serait difficile de rembourser le montant réclamé. Elle ne s'est en revanche pas expliquée sur son retard.</w:t>
      </w:r>
    </w:p>
    <w:p>
      <w:r>
        <w:rPr>
          <w:b/>
        </w:rPr>
        <w:t>E. 3</w:t>
      </w:r>
    </w:p>
    <w:p>
      <w:r>
        <w:t>a) Aux termes de l'art. 95 de la loi vaudoise du 28 octobre 2008 sur la procédure administrative (LPA-VD; BLV 173.36), le recours au Tribunal cantonal s'exerce dans les 30 jours dès la notification de la décision ou du jugement attaqué.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ég. arrêt PS.2018.0098 du 11 janvier 2019 consid. 1a). b) A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(cf. récemment TF 2C_183/2022 du 31 mai 2022 consid. 3.2). c) En l'espèce, il ressort de l'extrait track and trace de la poste produit par l'autorité intimée que le pli contenant la décision attaquée a été distribué à la recourante le 13 septembre 2023. Le délai de recours arrivait dès lors à échéance le 13 octobre 2023. Remis à un office postal le 12 décembre 2023 seulement, l'acte de recours est dès lors manifestement tardif. Interpellée, la recourante n'a donné aucune explication sur ce retard, se limitant à se prévaloir de sa situation financière difficile. Le recours doit dès lors être déclaré irrecevable. Il s'agit d'un cas qui relève de la compétence du juge unique (art. 94 al. 1 let. d LPA-VD). La recourante est invitée à s'adresser à l'autorité intimée pour discuter du plan de paiement pour rembourser le montant réclamé.</w:t>
      </w:r>
    </w:p>
    <w:p>
      <w:r>
        <w:rPr>
          <w:b/>
        </w:rPr>
        <w:t>E. 4</w:t>
      </w:r>
    </w:p>
    <w:p>
      <w:r>
        <w:t>L'arrêt est rendu sans frais (cf. art. 4 al. 3 du tarif des frais judiciaires et des dépens en matière administrative du 28 avril 2015 [TFJDA; BLV 173.36.5.1]).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