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PS.2023.0067 vom 30. Januar 2024</w:t>
      </w:r>
    </w:p>
    <w:p>
      <w:r>
        <w:t>VD Tribunal cantonal, 2024-01-30, FR</w:t>
      </w:r>
    </w:p>
    <w:p>
      <w:r>
        <w:rPr>
          <w:b/>
        </w:rPr>
        <w:t xml:space="preserve">Quelle: </w:t>
      </w:r>
      <w:r>
        <w:t>https://mcp.opencaselaw.ch/entscheid/vd_omni_PS.2023.0067</w:t>
      </w:r>
    </w:p>
    <w:p>
      <w:r>
        <w:t>FR: VD_OMNI PS.2023.0067 du 30 janvier 2024</w:t>
      </w:r>
    </w:p>
    <w:p>
      <w:r>
        <w:t>IT: VD_OMNI PS.2023.0067 del 30 gennaio 2024</w:t>
      </w:r>
    </w:p>
    <w:p>
      <w:pPr>
        <w:pStyle w:val="Heading2"/>
      </w:pPr>
      <w:r>
        <w:t>Regeste</w:t>
      </w:r>
    </w:p>
    <w:p>
      <w:r>
        <w:t>A.________/Direction générale de la cohésion sociale (DGCS), Centre social régional Riviera Site de Vevey | Bénéficiaire du RI qui n'a pas déclaré des montants crédités sur son compte. Ces versements qu'ils soient qualifiés de prêts, de remboursements de prêts ou de dons, sont des "ressources" qui devaient être prises en compte dans le calcul du RI. La qualifation de "dons" retenue est la plus favorable à la recourante, puisqu'une franchise de 1'200 fr. par année civile est appliquée aux dons de proches.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(cf. ég. art. 20 al. 2 LPA-VD, qui dispose que lorsqu'une partie s'adresse en temps utile à une autorité incompétente – comme en l'occurrence –, le délai est réputé sauvegardé). Il respecte au surplus les conditions formelles énoncées à l’art. 79 LPA-VD. Il convient dès lors d'entrer en matière.</w:t>
      </w:r>
    </w:p>
    <w:p>
      <w:r>
        <w:rPr>
          <w:b/>
        </w:rPr>
        <w:t>E. 2</w:t>
      </w:r>
    </w:p>
    <w:p>
      <w:r>
        <w:t>Le litige porte sur l'ordre de restitution d'un montant de 650 fr. que la recourante aurait perçu indûment au titre du RI en mai, septembre et octobre 2014.</w:t>
      </w:r>
    </w:p>
    <w:p>
      <w:r>
        <w:rPr>
          <w:b/>
        </w:rPr>
        <w:t>E. 3</w:t>
      </w:r>
    </w:p>
    <w:p>
      <w:r>
        <w:t>a) A teneur de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al. 1 LASV). La prestation financière est accordée à toute personne qui se trouve dépourvue des moyens nécessaires pour satisfaire les besoins vitaux et d'autres besoins personnels spécifiques importants (art. 34 LASV). Elle est composée d'un montant forfaitaire pour l'entretien, d'un montant forfaitaire destiné à couvrir les frais particuliers pour les adultes et d'un supplément correspondant au loyer effectif dans les limites fixées par le règlement (art. 31 al. 1 LASV). Elle est versée complètement ou en complément de revenus ou encore à titre d'avance remboursable sur des prestations d'assurances sociales ou privées et d'avances sur pensions alimentaires (art. 36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 26 al. 2 de règlement d'application de la LASV, du 26 octobre 2005 (RLASV; BLV 850.051.1) prévoit une liste de ce que comprennent "notamment" les ressources du requérant portées en déduction du montant alloué au titre du RI. Les prêts ne sont pas mentionnés dans cette liste. Selon la jurisprudence, ils doivent néanmoins être considérés comme des ressources soumises à déduction, en raison notamment du caractère subsidiaire de l'aide sociale (cf. art. 3 al. 1 LASV) qui implique que celle-ci ne soit pas versée lorsqu'un proche a fourni une prestation, de même qu'elle n'intervient pas pour éponger des dettes du requérant (cf. arrêts PS.2020.0092 du 7 avril 2022 consid. 4b et 5b; PS.2020.0050 du 8 juin 2021 consid. 3c; PS.2019.0044 du 20 février 2020 consid. 2b et 3c/aa et les références citées; cf. ég. ch. 1.2.2.13 des Normes RI, version 14, en vigueur depuis le 1 er juin 2018). Le fait que les sommes empruntées sont remboursées au fur et à mesure est sans incidence sur cette qualification (cf. arrêt PS.2020.0092 précité consid. 5b et les références citées). Quant aux dons de proches, ils ne font pas partie des ressources soumises à déduction jusqu'à concurrence d'un montant de 1'200 fr. par année civile (cf. art. 27 let. c RLASV). c)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Aux termes de l'art. 41 let. a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w:t>
      </w:r>
    </w:p>
    <w:p>
      <w:r>
        <w:rPr>
          <w:b/>
        </w:rPr>
        <w:t>E. 4</w:t>
      </w:r>
    </w:p>
    <w:p>
      <w:r>
        <w:t>En l'espèce, la DGCS a qualifié comme le CSR les montants perçus par la recourante les 14 mai 2014, 2 septembre 2014 et 28 octobre 2014 de dons. La recourante conteste cette qualification. Elle affirme que les montants en question constituent des remboursements de prêts qu'elle avait elle-même accordés à sa mère. Elle explique que, de manière générale, elle avançait en effet en début de mois l'argent pour les courses à sa mère et que celle-ci la remboursait, dès qu'elle touchait sa rente. Aucun élément du dossier ne permet de confirmer les allégations de la recourante. Le fait que seuls trois montants lui ont été crédités sur une période de près de seize mois (1 er janvier 2013 au 9 avril 2015) contredit au contraire le mode de fonctionnement qu'elle décrit. Interpellée à l'époque par le CSR sur la provenance des montants litigieux, elle avait par ailleurs fourni d'autres explications, parlant bien d'aides de sa mère. Quoi qu'il en soit, conformément à la règlementation et à la jurisprudence rappelées ci-dessus, les versements en cause – qu'ils soient qualifiés de dons, de prêts ou de remboursements de prêts – sont des "ressources" qui devaient être prises en compte dans le calcul du droit au RI de la recourante. Comme la DGCS le relève dans ses écritures, la qualification qu'elle a retenue est même plus favorable à la recourante, puisqu'une franchise de 1'200 fr. par année par civile est appliquée aux dons de proches (cf. art. 27 al. 1 let. c RLASV). La décision attaquée échappe dès lors à la critique.</w:t>
      </w:r>
    </w:p>
    <w:p>
      <w:r>
        <w:rPr>
          <w:b/>
        </w:rPr>
        <w:t>E. 5</w:t>
      </w:r>
    </w:p>
    <w:p>
      <w:r>
        <w:t>Les considérants qui précèdent conduisent au rejet du recours et à la confirmation de la décision attaquée. L'arrêt est rendu sans frais, la procédure dans les affaires de prestations sociales étant gratuite (cf. art. 4 al. 3 du Tarif du 28 avril 2015 des frais judiciaires et des dépens en matière administrative [TFJDA; BLV 173.36.5.1]).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