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PS.2023.0007 vom 18. April 2023</w:t>
      </w:r>
    </w:p>
    <w:p>
      <w:r>
        <w:t>VD Tribunal cantonal, 2023-04-18, FR</w:t>
      </w:r>
    </w:p>
    <w:p>
      <w:r>
        <w:rPr>
          <w:b/>
        </w:rPr>
        <w:t xml:space="preserve">Quelle: </w:t>
      </w:r>
      <w:r>
        <w:t>https://mcp.opencaselaw.ch/entscheid/vd_omni_PS.2023.0007</w:t>
      </w:r>
    </w:p>
    <w:p>
      <w:r>
        <w:t>FR: VD_OMNI PS.2023.0007 du 18 avril 2023</w:t>
      </w:r>
    </w:p>
    <w:p>
      <w:r>
        <w:t>IT: VD_OMNI PS.2023.0007 del 18 aprile 2023</w:t>
      </w:r>
    </w:p>
    <w:p>
      <w:pPr>
        <w:pStyle w:val="Heading2"/>
      </w:pPr>
      <w:r>
        <w:t>Regeste</w:t>
      </w:r>
    </w:p>
    <w:p>
      <w:r>
        <w:t>A.________/Direction générale de la cohésion sociale (DGCS), CENTRE SOCIAL REGIONAL NYON-ROLLE | C'est à bon droit que le CSR a astreint le recourant à rembourser les prestations qu'il touchait au titre du revenu d'insertion (RI) alors qu'il ne résidait pas dans le canton de Vaud durant la période en cause. Recours au TF déclaré irrecevable (8C_336/2023).</w:t>
      </w:r>
    </w:p>
    <w:p>
      <w:pPr>
        <w:pStyle w:val="Heading2"/>
      </w:pPr>
      <w:r>
        <w:t>Erwägungen</w:t>
      </w:r>
    </w:p>
    <w:p>
      <w:r>
        <w:rPr>
          <w:b/>
        </w:rPr>
        <w:t>E. 1</w:t>
      </w:r>
    </w:p>
    <w:p>
      <w:r>
        <w:t>Le recours de droit administratif est recevable contre les décisions qui, comme en l'espèce, ne sont pas susceptibles de recours devant une autre autorité (cf. art. 92 ss de la loi du 28 octobre 2008 sur la procédure administrative [LPA-VD; BLV 173.36]). Déposé en temps utile (cf. art. 95 LPA-VD), le présent recours satisfait en outre aux autres conditions formelles de recevabilité (en particulier l'art. 79 LPA-VD, par renvoi de l'art. 99 LPA-VD). Il convient dès lors d'entrer en matière sur le fond.</w:t>
      </w:r>
    </w:p>
    <w:p>
      <w:r>
        <w:rPr>
          <w:b/>
        </w:rPr>
        <w:t>E. 2</w:t>
      </w:r>
    </w:p>
    <w:p>
      <w:r>
        <w:t>Le recourant fait valoir essentiellement une constatation inexacte et incomplète des faits, savoir que, contrairement à ce que prétend l'autorité intimée, il aurait toujours résidé dans le canton de Vaud, de sorte que cette dernière n'était pas fondée à retenir que les conditions d'octroi des prestations du RI n'étaient pas réalisées. a) aa) Aux termes de son art. 4 al. 1, la loi du 2 décembre 2003 sur l'action sociale vaudoise (LASV; BLV 850.051) ne s'applique qu'aux personnes domiciliées ou en séjour dans le canton (cf. ég. art. 1 al. 2 du règlement d'application du 26 octobre 2005 de la LASV [RLASV; BLV 850.051.1]). Les normes RI édictées par le Département de la santé et de l'action sociale (intitulées " Complément indispensable à l'application de la loi sur l'action sociale vaudoise/LASV et son règlement d'application/RLASV ", dans leur version 14, en vigueur depuis le 1 er juin 2021, précisent comme suit les conditions de domiciliation (ch. 1.1.2, 1.1.2.1): " 1.1.2.1   Domicile d'assistance Le domicile d'assistance du requérant ou bénéficiaire est le lieu où : - il réside avec l'intention de s'y établir ; - il a son centre de vie, le centre de ses relations personnelles. Dans la règle, l'AA [autorité d'application de la LASV] compétente est celle de la commune dans laquelle le requérant ou bénéficiaire est inscrit selon le contrôle des habitants." bb) Selon la jurisprudence (cf. CDAP PS.2021.0005 du</w:t>
      </w:r>
    </w:p>
    <w:p>
      <w:r>
        <w:rPr>
          <w:b/>
        </w:rPr>
        <w:t>E. 7</w:t>
      </w:r>
    </w:p>
    <w:p>
      <w:r>
        <w:t>décembre 2021 consid. 2a/aa; PS.2020.0083 du 1 er octobre 2021 consid. 3b/aa; PS.2019.0010 du 30 juillet 2019 consid. 3a et les arrêts cités), la notion de domicile figurant à l'art. 4 LASV correspond à celle de l'art. 23 du Code civil suisse du 10 décembre 1907 (CC; RS 210). Selon l'art. 23 al. 1 CC, le domicile d'une personne est au lieu où elle réside avec l'intention de s'y établir. Cette disposition fait dépendre la notion de domicile de deux conditions: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 Le domicile d'une personne se trouve ainsi au lieu avec lequel elle a les relations les plus étroites, compte tenu de l'ensemble des circonstances (ATF 136 II 405 consid. 4.3; 135 I 233 consid. 5.1; 132 I 29 consid. 4).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137 II 122 consid. 3.6; 136 II 405 consid. 4.3; 135 I 233 consid. 5.1). b) aa) En l'occurrence, le recourant tente de justifier de l'existence d'un domicile à Saint-Cergue pendant la période durant laquelle il a touché les prestations du RI. Il allègue qu'il n'a été qu'occasionnellement absent de son domicile dans le canton de Vaud, " que pendant de très courtes périodes ". Il soutient que "[c] ontrairement à ce qu'affirme sans preuve le CSR de Nyon, [il] n' [a] pas fait que des allers-retours en provenance de Zurich ou de Paris pour venir assister aux rendez-vous ". Les assertions du recourant sont toutefois contredites, et de manière manifeste, par les pièces du dossier, singulièrement les relevés de son compte PostFinance ainsi que les titres de transport qu'il a produits à la demande du CSR. Il ressort de ces documents que le recourant arrivait de Lille quand il s'est présenté à l'entretien du 26 septembre 2019; il est reparti le jour même en direction de cette ville. Le 31 octobre 2019, il a fait l'aller-retour entre Zurich et Nyon pour son rendez-vous avec le CSR. Le recourant est rentré de Lille pour son entretien du 2 décembre 2019 et il est immédiatement reparti en France à l'issue de celui-ci. Pour son rendez-vous du 17 février 2020, il est arrivé à Nyon la veille en provenance de Zurich et est retourné dans cette ville le jour même ou le lendemain. À cela s'ajoute qu'il a manqué de nombreux entretiens (19 août, 29 août, 28 octobre, 13 novembre 2019, 29 août 2020) parce qu'il se trouvait soit dans le canton de Zurich, soit à l'étranger. Les relevés de comptes bancaires et les documents de transports figurant au dossier démontrent que la présence du recourant dans le canton de Vaud n'a été tout au plus que ponctuelle et marginale entre juin 2019 et février 2020. À compter de mars 2020, il est vrai que l'intéressé semble s'être fixé quelques mois à son domicile de Saint-Cergue, où vivait également son père. Ce séjour du recourant dans le canton de Vaud, qui coïncide avec l'application des premières mesures restrictives adoptées par les autorités fédérales en lien avec la pandémie de coronavirus, apparaît toutefois contraint par les circonstances. Dès que le Conseil fédéral a assoupli ces mesures, au printemps 2020, le recourant en a profité pour se rendre à Zurich où, le 12 juin 2020, il est arrivé en transports publics en provenance de Genève. Il est retourné à Zurich le 26 juin 2020, ville où il se trouvait encore le 3 juillet 2020 (cf. relevé PostFinance du 1 er août 2020). Le 29 août 2020, il a manqué le rendez-vous fixé avec le CSR, au motif qu'il était en quarantaine chez son frère à Zurich, l'amie de ce dernier étant positive au Covid-19. Il est du reste hautement vraisemblable qu'il a séjourné plus de temps encore dans le canton de Zurich durant cette période, dès lors qu'il a admis, dans son recours, qu'il s'y rendait " le plus souvent en voiture, par covoiturage, les transports en commun étant [...] déconseillés à l'époque ". Il est enfin établi que, du 5 septembre au 28 octobre 2020, le recourant a séjourné en France, ce qu'il a du reste tenté de dissimuler au CSR. Il ressort de ce qui précède que pendant la période durant laquelle il a touché les prestations du RI, soit de juin 2019 à septembre 2020, le recourant a essentiellement résidé en France et dans le canton de Zurich où, semble-t-il, il était pris en charge par des membres de sa famille. Il est quoi qu'il en soit clair que le canton de Vaud n'était pas le lieu où se concentrait un maximum d'éléments concernant sa vie personnelle, familiale et sociale: il n'a pas allégué avoir de la famille ou des amis proches dans le canton de Vaud, à l'exception de son père, alors que des membres de sa famille vivent en France et dans le canton de Zurich, et qu'il a, comme il l'a exposé dans son recours, " tous [s] es amis d'enfance " à Winterthur. Pour le reste, le recourant n'a amené aucun élément probant – témoignages, pièces ou autres – permettant d'établir qu'il résidait effectivement à Saint-Cergue durant la période pendant laquelle il a perçu les prestations financières du RI. Le recourant n'a pas davantage manifesté la volonté de faire du canton de Vaud le centre de ses relations professionnelles. Il a certes demandé son immatriculation à l'UNIL afin d'y suivre un cursus de sciences sociales; il a cependant échoué à l'examen d'admission et ne paraît pas s'être rendu à la session de rattrapage. De plus, inscrit à l'ORP depuis le 15 janvier 2020, il n'a pas fait les recherches d'emploi qui lui étaient demandées et a fait montre de désintérêt pour les mesures d'insertion proposées par le CSR et l'ORP, de nombreux manquements lui ayant été reprochés, ce qui a conduit au prononcé d'un avertissement à son encontre, le 28 juillet 2020. bb) Le recourant invoque encore sa situation financière précaire et fait valoir qu'il n'est pas en mesure de rembourser le montant réclamé par le CSR. Selon l'art. 41 al. 1 let. a i.f. LASV, le bénéficiaire de bonne foi n'est tenu à restitution, totale ou partielle, que dans la mesure où il n'est pas mis de ce fait dans une situation difficile. En l'espèce, les éléments qui précèdent excluent que la bonne foi du recourant puisse être retenue (non-respect des demandes et convocations, avertissements, etc.). L'application de l'art. 41 al. 1 let. a i.f. LASV n'entre par conséquent pas en ligne de compte. c) Au vu de ce qui précède, c'est à bon droit que l'autorité intimée a retenu que le recourant n'avait pas résidé dans le canton de Vaud durant la période en cause et qu'il doit rembourser intégralement les prestations qu'il a perçues au titre du RI, pour la période du 1 er juin 2019 au 30 septembre 2020. 3. Le considérant qui précède conduit au rejet du recours, manifestement mal fondé, et à la confirmation de la décision attaquée. Il n'est pas perçu de frais, la procédure dans les affaires de prestations sociales étant en principe gratuite (art. 4 al. 3 du tarif des frais judiciaires et des dépens en matière administrative [TFJDA; BLV 173.36.5.1]). Il n'est pas alloué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