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PS.2022.0070 vom 3. Januar 2023</w:t>
      </w:r>
    </w:p>
    <w:p>
      <w:r>
        <w:t>VD Tribunal cantonal, 2023-01-03, FR</w:t>
      </w:r>
    </w:p>
    <w:p>
      <w:r>
        <w:rPr>
          <w:b/>
        </w:rPr>
        <w:t xml:space="preserve">Quelle: </w:t>
      </w:r>
      <w:r>
        <w:t>https://mcp.opencaselaw.ch/entscheid/vd_omni_PS.2022.0070</w:t>
      </w:r>
    </w:p>
    <w:p>
      <w:r>
        <w:t>FR: VD_OMNI PS.2022.0070 du 3 janvier 2023</w:t>
      </w:r>
    </w:p>
    <w:p>
      <w:r>
        <w:t>IT: VD_OMNI PS.2022.0070 del 3 gennaio 2023</w:t>
      </w:r>
    </w:p>
    <w:p>
      <w:pPr>
        <w:pStyle w:val="Heading2"/>
      </w:pPr>
      <w:r>
        <w:t>Regeste</w:t>
      </w:r>
    </w:p>
    <w:p>
      <w:r>
        <w:t>A.________, B.________/Direction générale de la cohésion sociale (DGCS), Centre social régional Riviera Site de Vevey | Rejet du recours formé par un couple bénéficiaire du revenu d'insertion contre la décision de la DGCS ordonnant la restitution d'un montant de 599 fr. 40 à titre de prestations indûment perçues. Les recourants ont violé leur devoir de renseigner en omettant de déclarer des revenus perçus en août 2017. Bien que le calcul du montant soumis à restitution effectué par la DGCS soit erroné, la réforme de la décision entreprise constituerait une reformatio in pejus à laquelle il est renoncé au vu des circonstances de l'espèce.</w:t>
      </w:r>
    </w:p>
    <w:p>
      <w:pPr>
        <w:pStyle w:val="Heading2"/>
      </w:pPr>
      <w:r>
        <w:t>Erwägungen</w:t>
      </w:r>
    </w:p>
    <w:p>
      <w:r>
        <w:rPr>
          <w:b/>
        </w:rPr>
        <w:t>E. 1</w:t>
      </w:r>
    </w:p>
    <w:p>
      <w:r>
        <w:t>Déposé dans le délai de trente jours prescrit par l'art. 95 la loi vaudoise du 28 octobre 2008 sur la procédure administrative (LPA-VD; BLV 173.36), le recours est intervenu en temps utile. Il respecte au surplus les art. 75 et 79 LPA-VD applicables par renvoi de l'art. 99 LPA-VD. Il y a ainsi lieu d'entrer en matière sur le fond.</w:t>
      </w:r>
    </w:p>
    <w:p>
      <w:r>
        <w:rPr>
          <w:b/>
        </w:rPr>
        <w:t>E. 2</w:t>
      </w:r>
    </w:p>
    <w:p>
      <w:r>
        <w:t>Les recourants ne contestent pas avoir perçu les montants de 71 fr. 10 et 750 fr. à titre de salaires relatifs au mois d'août 2017 pour des activités entreprises au service respectivement de ******** et de la Clinique ********. Ils ne nient pas avoir omis de déclarer ces montants, mais exposent que ces activités, qui devaient être non rémunérées, ont finalement été rétribuées à leur grande surprise. Ils ajoutent que les moyens mis en œuvre par le CSR et la DGCS seraient disproportionnés au vu de la faiblesse de ces montants. a) La loi vaudoise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A la lumière de cette disposition, l'aide financière étatique n'est donc due que dans la mesure où elle est nécessaire ou n'est pas déjà couverte par des prestations de tiers (cf. PS.2020.0041 du 30 novembre 2020 consid. 2a/aa et les arrêts citées). L'action sociale prévoit notamment l'octroi d'un revenu d'insertion (RI), qui comprend notamment une prestation financière et peut, cas échéant, également comprendre des prestations sous forme de mesures d'insertion sociale ou professionnelle (cf. art. 1 al. 2 et 27 LASV). La prestation financière est accordée dans les limites d'un barème établi par le règlement vaudois du 26 octobre 2005 d'application de la LASV (RLASV; BLV 850.051.1), après déduction des ressources du requérant, de son conjoint ou concubin faisant ménage commun avec lui et de ses enfants mineurs à charge (art. 31 al. 2 LASV). Selon l'art. 31 al. 3 LASV, une franchise est prise en compte lors de la déduction des ressources prévues à l'alinéa 2 lorsque celles-ci proviennent d'une activité lucrative, à condition que cette activité ne constitue pas une mesure d'insertion sociale ou professionnelle. Aucune franchise n'est toutefois prise en compte lorsque les revenus à déduire proviennent d'une activité lucrative qui n'a pas été annoncée par la personne bénéficiaire des prestations RI (art. 31 al. 4 LASV).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début d'une activité lucrative ou l'augmentation de la rémunération d'une telle activité (al. 2 let. a), les variations concernant le revenu des personnes vivant dans le ménage (al. 2 let. f), le versement d'un capital ou indemnité de quelque nature que ce soit (al. 2 let. h), et toute aide économique, financière ou en nature, concédée par un tiers au ménage aidé (al. 2 let. k). Enfin,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PS.2019.0057 du 23 janvier 2020 consid. 3 et les références citées). b) En l'espèce, par courriers des 22 juillet 2018 et 23 mars 2019, la recourante a expressément reconnu avoir omis d'annoncer au CSR la perception de la somme de 71 fr. 10 à titre de salaire et a admis implicitement son devoir de la restituer. Quant au recourant, il a reconnu par courrier du 23 juillet 2018 avoir sciemment décidé de ne pas déclarer son salaire de 750 fr. au CSR. Les recourants ont ainsi omis de déclarer des ressources pourtant déterminantes dans le calcul des prestations financières allouées et propres à influencer leur droit au RI. Ce faisant, ils ont agi en violation de leur devoir de renseigner ancré aux art. 38 LASV et 29 RLASV. Leurs explications selon lesquelles les activités entreprises pour le compte d'******** et de la Clinique ******** ne devaient initialement pas être rémunérées, mais ne l'ont été qu'après coup et à leur insu, n'y changent rien: leur volonté initiale n'est pas pertinente et les salaires auraient à tout le moins dus être annoncés après que les recourants en ont constaté leur versement. c) Dès lors que les recourants émargeaient à l'aide sociale depuis respectivement deux et trois ans, ils ne pouvaient ignorer que ces montants étaient propres à influencer leur droit au RI. En omettant, sciemment selon les propos du recourant, de déclarer ces revenus, ils ont ainsi violé l'obligation de renseigner qui leur incombait en vertu de l'art. 38 LASV. Compte tenu en particulier de leurs déclarations respectives au cours de la procédure, ils ne sauraient se prévaloir de leur bonne foi, ce qu'ils n'invoquent d'ailleurs pas. Il n'y a donc pas lieu d'examiner si la restitution les mettrait dans une situation financière difficile, ce qu'ils ne font pas non plus valoir. Les recourants doivent dès lors restituer les sommes litigieuses. On relève au surplus que, s'il est vrai que les montants cachés sont de faible importance, en particulier celui de 71 fr. 10, il n'en demeure pas moins qu'ils auraient dû être annoncés au CSR, et que ni le devoir de renseigner, ni la restitution ne dépendent de l'importance des montants perçus indûment. d) Si le principe de la restitution ne prête pas flanc à la critique, le montant arrêté par l'autorité intimée est toutefois erroné sur deux points. Tout d'abord, il ressort des pièces au dossier que la somme de 799 fr. brute a été versée en contrepartie d'une activité exercée uniquement au mois d'août 2017 et non en guise de salaire relatif à toute l'année 2017, ce qui ressort tant du certificat de salaire du 15 janvier 2018 que des déclarations de la Clinique ******** consignées dans le rapport du 19 avril 2018. Il en résulte que cette somme a été perçue intégralement pendant la période à laquelle le recourant bénéficiait du RI; c'est donc de l'entier de cette somme qu'il convient de tenir compte, et non de son montant réduit. Par ailleurs, dans ses calculs, l'autorité intimée s'est fondée, d'une part, sur le salaire brut du recourant (799 fr.) et, d'autre part, sur le salaire net de la recourante (71 fr. 70). Par souci de cohérence, il aurait fallu prendre en considération à chaque fois les salaires nets perçus par les recourants, à savoir 750 fr. et 71 fr. 10, comme l'avait fait le CSR. La réforme de la décision entreprise dans le sens qui précède constituerait toutefois une reformatio in pejus (soit une modification de la décision attaquée au détriment des recourants; art. 89 al. 2 et 3 LPA-VD), ce que, compte tenu des circonstances de l'espèce, le tribunal renonce à ordonner. e) On relèvera au passage que, malgré ce qu'invoque la recourante, l'autorité était fondée à réclamer le remboursement de la totalité de l'indu, versé pendant le mariage à chacun des époux, ceux-ci étant solidairement responsables au sens de l’art. 166 al. 3 du code civil suisse du 10 décembre 1907 (CC; RS 210). Qu'une partie de la somme réclamée soit relative au salaire perçu par le recourant seul est sans importance. L'art. 38 al. 7 LASV prévoit d'ailleurs expressément qu'à la personne sollicitant une aide ou ayant obtenu des prestations du RI est assimilé son conjoint. L'aide sociale est en effet accordée en fonction de la situation financière familiale et a donc profité directement à la recourante au même titre qu'au recourant (sur ces questions, voir notamment PS.2021.0013 du 14 septembre 2021 consid. 4f; PS.2018.0100 du 3 juin 2020 consid. 4; PS.2019.0071 du 15 mai 2020 consid. 4c). Il sied enfin de rappeler que le paiement de l'entier de la dette de l'un des époux libérera l'autre dans la même mesure (cf. art. 147 al. 1 du code des obligations du 30 mars 1911 [CO; RS 220]).</w:t>
      </w:r>
    </w:p>
    <w:p>
      <w:r>
        <w:rPr>
          <w:b/>
        </w:rPr>
        <w:t>E. 3</w:t>
      </w:r>
    </w:p>
    <w:p>
      <w:r>
        <w:t>Les considérants qui précèdent conduisent au rejet du recours et à la confirmation de la décision entreprise.</w:t>
      </w:r>
    </w:p>
    <w:p>
      <w:r>
        <w:rPr>
          <w:b/>
        </w:rPr>
        <w:t>E. 4</w:t>
      </w:r>
    </w:p>
    <w:p>
      <w:r>
        <w:t>Il n'y a pas lieu de percevoir d'émolument judiciaire, la procédure étant gratuite (art. 4 al. 3 du tarif vaudois du 28 avril 2015 des frais judiciaires et des dépens en matière administrative [TFJDA; BLV 173.36.5.1]).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