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PS.2022.0047 vom 7. März 2023</w:t>
      </w:r>
    </w:p>
    <w:p>
      <w:r>
        <w:t>VD Tribunal cantonal, 2023-03-07, FR</w:t>
      </w:r>
    </w:p>
    <w:p>
      <w:r>
        <w:rPr>
          <w:b/>
        </w:rPr>
        <w:t xml:space="preserve">Quelle: </w:t>
      </w:r>
      <w:r>
        <w:t>https://mcp.opencaselaw.ch/entscheid/vd_omni_PS.2022.0047</w:t>
      </w:r>
    </w:p>
    <w:p>
      <w:r>
        <w:t>FR: VD_OMNI PS.2022.0047 du 7 mars 2023</w:t>
      </w:r>
    </w:p>
    <w:p>
      <w:r>
        <w:t>IT: VD_OMNI PS.2022.0047 del 7 marzo 2023</w:t>
      </w:r>
    </w:p>
    <w:p>
      <w:pPr>
        <w:pStyle w:val="Heading2"/>
      </w:pPr>
      <w:r>
        <w:t>Regeste</w:t>
      </w:r>
    </w:p>
    <w:p>
      <w:r>
        <w:t>A.________ /Direction générale de la cohésion sociale (DGCS), Centre social régional de la Broye-Vully | Recours d'une bénéficiaire du RI contre la décision de la DGCS confirmant la sanction prononcée par le CSR lui infligeant une réduction de 25% de son forfait mensuel pendant six mois ou jusqu'à la production de sa dernière décision de taxation. S'il est vrai que la situation générale de la recourante sur le plan administratif est complexe, le CSR en a déjà largement tenu compte en lui octroyant le RI en l'absence de certains documents pourtant obligatoires (consid. 3a). L'absence quasi-totale de démarches entreprises par la recourante pour fournir sa dernière décision de taxation constitue une violation de son obligation d'informer, à quoi s'ajoutent, entre autres, le retard à déclarer ses comptes étrangers et à produire des relevés de ses comptes en bonne et due forme (consid. 3b). L'état de santé de la recourante n'est pas propre à justifier ses manquements (consid. 3c). Vu l'opacité entretenue par la recourante sur sa situation financière, la quotité de 25% de réduction est justifiée (consid. 4a).</w:t>
      </w:r>
    </w:p>
    <w:p>
      <w:pPr>
        <w:pStyle w:val="Heading2"/>
      </w:pPr>
      <w:r>
        <w:t>Erwägungen</w:t>
      </w:r>
    </w:p>
    <w:p>
      <w:r>
        <w:rPr>
          <w:b/>
        </w:rPr>
        <w:t>E. 1</w:t>
      </w:r>
    </w:p>
    <w:p>
      <w:r>
        <w:t>Selon l'art. 95 de la loi du 28 octobre 2008 sur la procédure administrative (LPA-VD; RSV 173.36), le recours s'exerce dans les trente jours dès la notification de la décision entreprise. En l'espèce, le recours a été déposé en temps utile et satisfait aux autres conditions légales de recevabilité (art. 75 et 79 LPA-VD applicables par renvoi de l'art. 99 LPA-VD). Il y a ainsi lieu d'entrer en matière sur le fond.</w:t>
      </w:r>
    </w:p>
    <w:p>
      <w:r>
        <w:rPr>
          <w:b/>
        </w:rPr>
        <w:t>E. 2</w:t>
      </w:r>
    </w:p>
    <w:p>
      <w:r>
        <w:t>La recourante conteste la décision de la DGCS qui, selon elle, n'a pas tenu compte de sa situation personnelle et administrative complexe. Elle fait essentiellement valoir qu'un concours de circonstances, à savoir un déménagement outre-Atlantique, puis intercantonal, ainsi que son état de santé, dont un diabète gestatif puis des problèmes psychologiques, ne lui a pas permis d'accomplir les demandes du CSR. Par ailleurs, les documents requis ne seraient pas aisés à se procurer et il faudrait parfois plusieurs mois, voire une année, avant que les autorités américaines n'obtempèrent. Le CSR lui ayant toujours demandé " sa dernière décision de taxation ", elle ne pouvait pas se douter que la décision de taxation de l'année 2019 était suffisante et ne l'aurait appris que tardivement, soit en décembre 2021. Après avoir contacté les autorités fiscales américaines à plusieurs reprises, elle avait pu produire ce document au CSR le 3 mai 2022. Enfin, elle estime que les considérants de la DGCS selon lesquels " l'état de santé [invoqué] ainsi que le fait d'avoir trois enfants à charge, dont un majeur, ne saurait justifier son manque de réactivité " constitueraient une remise en cause des certificats médicaux produits, ce pour quoi la DGCS ne serait pas compétente.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(cf. art. 1 al. 2 LASV).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Cette disposition pose l'obligation pour le requérant de collaborer à l'établissement des faits propres à rendre au moins vraisemblable son besoin d'aide. Il n'appartient pas à l'autorité d'application de l'aide sociale d'établir un tel besoin.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(CDAP PS.2018.0078 du 22 mars 2019 consid. 3b; PS.2016.0027 du 24 juin 2016 consid. 2b et les références; PS.2015.0055 du 22 janvier 2016 consid. 3b; PS.2014.0026 du 5 juin 2015 consid. 1b; PS.2014.0009 du 12 mai 2015 consid. 2b). bb) Le devoir de collaborer ne peut être soumis à des exigences trop grandes. C'est pourquoi on ne peut astreindre les intéressés à fournir des documents qu'ils n'ont pas ou qu'ils ne peuvent se procurer sans complication notable (TF 8C_702/2015 du 15 juin 2016 consid. 6.2.1, 8C_50/2015 du 17 juin 2015 consid. 3.2.1 et les références; PS.2017.0033 du 25 mai 2018). Le requérant reste toutefois tenu de collaborer en ce sens qu'il donne les informations nécessaires et verse les documents requis au dossier (TF 8C_702/2015 du 15 juin 2016 consid. 6.2.1). Lorsque les preuves font défaut, ou si l'on ne peut raisonnablement exiger de l'autorité qu'elle les recueille, la règle de l'art. 8 du Code civil du 10 décembre 1907 (CC; RS 210) est applicable. cc) Selon l'art. 1.4.5 des Normes RI (version 14, entrée en vigueur le 1 er juin 2021), fait partie des " documents de base devant figurer obligatoirement dans tous les dossiers RI ", la décision de taxation fiscale du requérant. b)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43 du règlement d'application de la LASV du 26 octobre 2005 (RLASV; BLV 850.051.1), qui précise cette disposition, prévoit qu'après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Selon l'art. 45 al. 1 let. b RLASV, l'autorité peut, en fonction de la gravité ou de la répétition du manquement reproché au bénéficiaire, réduire de 15%, 25% ou 30% le forfait entretien, y compris le supplément accordé aux jeunes adultes visés par l'art. 31 al. 2bis LASV suivis par l'ORP ou effectuant une mesure d'insertion, pour une durée maximum de douze mois pour la réduction de 15% et de six mois pour les réductions de 25% ou 30%; après examen de la situation, la mesure peut être reconduite. La jurisprudence relative à la quotité de la sanction varie en fonction des circonstances des cas d'espèce (cf. notamment PS.2020.0054 du 8 janvier 2021; PS.2019.0071 du 15 mai 2020; PS.2018.0091 du 7 mars 2019), mais considère que la réduction de 25% du forfait entretien pendant six mois constitue une sanction proche du maximum prévu par la loi (PS.2018.0091 du 7 mars 2019 consid. 3b).</w:t>
      </w:r>
    </w:p>
    <w:p>
      <w:r>
        <w:rPr>
          <w:b/>
        </w:rPr>
        <w:t>E. 3</w:t>
      </w:r>
    </w:p>
    <w:p>
      <w:r>
        <w:t>a) En l'espèce, il est vrai que la situation de la recourante sur les plans personnel et administratif est complexe principalement en raison de ses déménagements outre-Atlantique et intercantonal, ainsi qu'en raison de ses changements de noms – tantôt B.________, A.________, ou encore C.________ –, respectivement de l'absence d'annonce de certains faits à l'état civil par ses soins. Il ressort en effet du dossier de la présente cause que la simple inscription à sa commune de domicile était compliquée, de même que l'accès aux informations de son compte de libre-passage auprès de la ********. Le CSR a d'ailleurs expressément reconnu la complexité de cette situation dans son journal. Il est également vrai que le récent accouchement de la recourante au moment de l'ouverture de son dossier a pu justifier une certaine latence avant l'accomplissement complet des démarches administratives y relatives. Cela étant, en lui octroyant le droit au RI à compter du 1 er avril 2021, alors que son dossier était encore largement lacunaire, le CSR a bel et bien pris en considération cette situation particulière. Ce faisant, l'autorité précitée a toutefois immédiatement, par courrier du 4 mai 2021, précisé que le dossier devrait être complété, en listant les documents requis, y compris la dernière décision de taxation, et en impartissant un délai de quinze jours pour ce faire. La recourante savait ainsi déjà à ce moment-là que des démarches étaient attendues de sa part et que son droit au RI en dépendait. A plusieurs reprises les mois suivants, à savoir les 18, 23 et 30 juin, 22 juillet, 2 décembre 2021 et 3 février 2022, le CSR a réitéré sa demande d'informations. La décision de taxation a expressément été mentionnée dans les courriers des 4 mai et 18 juin 2021, ainsi que lors de la rencontre du 2 décembre 2021. Le courrier du CSR du 18 juin 2021 précité précisait en outre les sanctions en cas de défaut de transmission dans le délai imparti. La recourante était ainsi parfaitement informée des documents à produire et des conséquences d'une absence de production. Elle a en outre largement pu se déterminer à cet égard (cf. par exemple ses courriers du 17 mai 2021 et du 2 février 2022). b) Ces demandes complémentaires de l'autorité concernée étaient par ailleurs pertinentes puisqu'elles permettaient de mieux cerner la situation financière de la recourante, ce qui était indispensable vu les informations incomplètes fournies et qui restaient dans le cadre de ce qui peut être exigé d'une personne au bénéfice de l'aide sociale. En particulier, la dernière décision de taxation constitue un document obligatoire à l'ouverture d'un dossier RI; il était parfaitement justifié que le CSR en demande la production. S'il est vrai que les démarches à entreprendre par la recourante pour récupérer les documents requis étaient complexes, il ne lui était pas demandé l'impossible: elle était par exemple admise à produire des preuves écrites des demandes effectuées, ce qu'elle a largement tardé à faire, ou n'a pas fait du tout. Pour la décision de taxation, elle s'est contentée, au stade du recours administratif, de produire des captures d'écran de son téléphone portable montrant qu'elle avait tenté à deux reprises seulement, sur une période de presque un an, de joindre par téléphone les autorités fiscales étatsuniennes. Ces démarches doivent être considérées comme largement insuffisantes tant quant à leur fréquence qu'en lien avec les moyens utilisés. Plus généralement, on relève en outre que la recourante a manqué un rendez-vous qui lui avait été fixé quelques mois auparavant et qu'elle n'avait, au moment de la reddition de la décision entreprise, toujours pas transmis au CSR les justificatifs liés aux versements de 250 USD. Par ailleurs, la recourante a largement tardé à déclarer ses comptes bancaires étrangers, de même qu'à produire les relevés de ceux-ci en bonne et due forme, malgré de très nombreuses demandes de l'autorité. Elle a en outre argué à plusieurs reprises que ses comptes n'étaient pas utilisés, gelés, ou n'étaient pas accessibles par ses soins, alors qu'en parallèle, peu avant ou après la formulation de ces allégations, elle effectuait des transferts depuis ou vers ces comptes, apparemment par ordres donnés en ligne. La version des faits de la recourante a donc été régulièrement contredite par les documents bancaires finalement produits par ses soins. Enfin, on peine à comprendre pour quelles raisons la recourante ne s'est pas adressée par écrit aux autorités fiscales américaines, ainsi qu'aux établissements bancaires américain et canadien, ce d'autant plus qu'elle communique régulièrement par écrit avec les autorités administratives suisses. Bien que certains éléments contextuels justifient que la recourante n'ait pas immédiatement accompli l'intégralité des démarches nécessaires à l'obtention de sa dernière décision de taxation, il pouvait être exigé de sa part que de telles démarches, si elles n'avaient pas entièrement abouti, qu'elles soient au moins démontrées, à presque un an de sa première demande de RI. C'est d'autant plus le cas qu'en octroyant le droit au RI malgré le manque de documents essentiels pour éclairer une situation financière des plus opaques, le CSR avait d'ores et déjà largement tenu compte de sa situation personnelle, faisant preuve d'une patience particulière. En omettant de démontrer et en n'effectuant pas les démarches suffisantes à l'obtention de sa dernière décision de taxation, la recourante a agi en violation de son devoir de collaboration, en particulier au vu du fardeau de la preuve qui lui incombe. Compte tenu de tous ces éléments, il faut considérer que la recourante a entretenu une opacité générale sur sa situation financière et a ainsi manifestement failli à son devoir de collaboration tel que prescrit par l'art. 43 RLASV. c) Par ailleurs, son état de santé n'est pas propre à justifier son défaut de collaboration. Le certificat médical produit pendant la procédure de recours administratif n'atteste que d'une pathologie en cours de traitement et du fait qu'elle avait trois enfants à charge de sorte que la situation semblait, pour sa médecin, " compliquée "; ce document ne démontre pas qu'elle ne serait pas à même de remplir ses obligations envers le RI pour des raisons médicales. Celui-ci a en outre d'abord été produit dans une version ni datée ni signée, à la force probante ainsi réduite. Ce n'est que dans le cadre du présent recours que la recourante a produit un certificat complet, ainsi que deux nouvelles attestations médicales, dont on relève à première vue qu'elles portent toutes deux sur des périodes largement antérieures à la date de leur établissement. Sans minimiser les problèmes de santé invoqués, il ressort toutefois du dossier de la cause que la recourante s'est montrée capable d'échanger seule avec les autorités administratives pendant toute la procédure, y compris pendant les périodes couvertes par les attestations précitées et, surtout, qu'elle dispose d'un entourage à même de l'aider dans ses démarches (fille majeure, parents et pasteur); on pouvait ainsi attendre d'elle qu'elle collabore pleinement avec les autorités administratives. Enfin, la recourante a disposé de plus de onze mois pour produire sa dernière décision de taxation, de sorte que l'on peut considérer que le CSR a largement tenu compte de sa situation personnelle, y compris de son état de santé, avant de la sanctionner. d) Il apparaît ainsi que l’autorité intimée n’a pas abusé de son pouvoir d’appréciation ni violé le droit en retenant la violation des art. 38, 45 LASV et 43 RLASV.</w:t>
      </w:r>
    </w:p>
    <w:p>
      <w:r>
        <w:rPr>
          <w:b/>
        </w:rPr>
        <w:t>E. 4</w:t>
      </w:r>
    </w:p>
    <w:p>
      <w:r>
        <w:t>S'agissant de la sanction prononcée en l'espèce, soit la réduction de 25% du forfait d’entretien de la recourante pendant six mois ou jusqu'à la production des documents requis, tant le CSR que l'autorité intimée ont considéré que les circonstances de l'espèce justifiaient une sanction importante située dans la fourchette haute des réductions prévues par l'art. 45 al. 1 let. b RLASV. a) Compte tenu de l'opacité générale entretenue par la recourante sur sa situation financière, en particulier du défaut de production de sa décision de taxation et de ses relevés bancaires pendant plusieurs mois malgré de très nombreuses demandes de l'autorité, ainsi que de l'absence quasi-totale de démarches en ce sens, cette appréciation doit être confirmée. b) On relève par ailleurs qu'au total plusieurs milliers de dollars américains et canadiens ont transité sur ses comptes pendant la période de novembre 2020 à février 2022, soit au total au moins 11'500 CAD. Au moment du dépôt de sa demande de RI, le solde de son compte américain s'élevait à plus de 6'000 USD, somme qu'elle s'est gardée dans un premier temps de déclarer, mais qu'elle s'est empressée de transférer sur d'autres comptes les mois suivants, remboursant sa dette canadienne au lieu de rapatrier en Suisse l'argent en question comme il le lui avait été demandé par le CSR. Vu ces éléments, on pourrait même s'interroger sur le bien-fondé même de l'octroi du RI. Quoi qu'il en soit, il suffit de retenir que le manquement de la recourante à son obligation de renseigner doit être considéré comme grave et répété, de sorte que la sanction prononcée respecte le principe de proportionnalité.</w:t>
      </w:r>
    </w:p>
    <w:p>
      <w:r>
        <w:rPr>
          <w:b/>
        </w:rPr>
        <w:t>E. 5</w:t>
      </w:r>
    </w:p>
    <w:p>
      <w:r>
        <w:t>Au vu de ce qui précède, il convient de rejeter le recours et de confirmer la décision attaquée. Il n'est pas perçu de frais de justice (art. 4 al. 3 du tarif des frais judiciaires et des dépens en matière administrative du 28 avril 2015 [TFJDA; BLV 173.36.5.1]).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