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PS.2022.0026 vom 29. März 2023</w:t>
      </w:r>
    </w:p>
    <w:p>
      <w:r>
        <w:t>VD Tribunal cantonal, 2023-03-29, FR</w:t>
      </w:r>
    </w:p>
    <w:p>
      <w:r>
        <w:rPr>
          <w:b/>
        </w:rPr>
        <w:t xml:space="preserve">Quelle: </w:t>
      </w:r>
      <w:r>
        <w:t>https://mcp.opencaselaw.ch/entscheid/vd_omni_PS.2022.0026</w:t>
      </w:r>
    </w:p>
    <w:p>
      <w:r>
        <w:t>FR: VD_OMNI PS.2022.0026 du 29 mars 2023</w:t>
      </w:r>
    </w:p>
    <w:p>
      <w:r>
        <w:t>IT: VD_OMNI PS.2022.0026 del 29 marzo 2023</w:t>
      </w:r>
    </w:p>
    <w:p>
      <w:pPr>
        <w:pStyle w:val="Heading2"/>
      </w:pPr>
      <w:r>
        <w:t>Regeste</w:t>
      </w:r>
    </w:p>
    <w:p>
      <w:r>
        <w:t>A.________ /Bureau de recouvrement et d'avances de pensions alimentaires, Direction générale de l'enfance et de la jeunesse (DGEJ) | Recours d'une bénéficiaire d'avances sur pensions alimentaires contre une décision de suspension rendue par le BRAPA. Requalification de l'objet du litige, la décision entreprise devant être qualifiée de décision de suspension de la procédure au sens de l'art. 25 LPA-VD et non d'une décision de suspension des avances au sens de l'art. 13 RLRAPA. La première décision du BRAPA allouait des avances sur pension alimentaire en tenant compte d'une unité économique de référence (UER) d'un adulte et un enfant et d'une pension fixée globalement pour la recourante et sa fille (pour "l'entretien des siens"). Dès le placement de l'enfant chez sa demi-soeur, mais à tout le moins au moment du retrait du droit de décider du lieu de résidence de l'enfant et du mandat de placement confié à la DGEJ, cette UER s'est modifiée, entraînant la nécessité de réviser les avances en examinant séparément le droit de la recourante et de sa fille. La pension alimentaire, qui ne distingue pas le montant alloué à la recourante de celui alloué à sa fille, ne le permet toutefois pas. En vertu de leur devoir de collaborer et de l'art. 8 CC, la recourante pour elle-même et la DGEJ pour l'enfant auraient dû effectuer des démarches complémentaires pour rendre possible ce calcul, cas échéant en saisissant les autorités civiles. En l'absence de toute démarche en ce sens, l'autorité était fondée à suspendre la procédure de révision dont elle était saisie. Rejet du recours et renvoi de la cause à l'autorité intimée pour qu'elle renseigne la recourante sur les démarches à entreprendre et pour qu'elle statue au fond.</w:t>
      </w:r>
    </w:p>
    <w:p>
      <w:pPr>
        <w:pStyle w:val="Heading2"/>
      </w:pPr>
      <w:r>
        <w:t>Erwägungen</w:t>
      </w:r>
    </w:p>
    <w:p>
      <w:r>
        <w:rPr>
          <w:b/>
        </w:rPr>
        <w:t>E. 1</w:t>
      </w:r>
    </w:p>
    <w:p>
      <w:r>
        <w:t>L'enfant mineur économiquement dépendant vivant dans une institution ou une famille d'accueil est attribué à l'unité économique des parents mariés et non séparés.</w:t>
      </w:r>
    </w:p>
    <w:p>
      <w:r>
        <w:rPr>
          <w:b/>
        </w:rPr>
        <w:t>E. 2</w:t>
      </w:r>
    </w:p>
    <w:p>
      <w:r>
        <w:t>Si les parents sont séparés ou divorcés, l'enfant est attribué au parent qui a l'autorité parentale. En cas d'autorité parentale exercée en commun, l'enfant est attribué à l'unité économique du parent auprès duquel il vit de manière prépondérante pendant les week-ends, les jours fériés et les vacances. Il est présumé que l'enfant séjourne de manière prépondérante chez le parent auprès duquel il est domicilié. Si cette présomption ne mène pas à une solution satisfaisante ou en cas d'absence d'un domicile chez un parent, l'autorité d'application décide de l'attribution de l'enfant.</w:t>
      </w:r>
    </w:p>
    <w:p>
      <w:r>
        <w:rPr>
          <w:b/>
        </w:rPr>
        <w:t>E. 3</w:t>
      </w:r>
    </w:p>
    <w:p>
      <w:r>
        <w:t>Cette disposition s'applique par analogie aux enfants recueillis." dd) L'art. 12 LRAPA prévoit encore que la personne qui sollicite une aide au sens des art.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L'art. 10 RLRAPA complète cette disposition en prévoyant que " tout fait nouveau susceptible de modifier le montant des avances ou à en justifier leur suppression doit être signalé sans délai au service " (al. 1). L'alinéa 2 de cette disposition énumère de manière non-exhaustive ce qui constitue un fait nouveau, notamment la modification de l'unité économique de référence au sens de l'art. 10 LHPS. Si la procédure administrative fait prévaloir la maxime inquisitoire, impliquant que l'autorité doit se fonder sur des faits réels qu'elle est tenue de rechercher d'office (cf.  art. 28 al. 1 de loi du 28 octobre 2008 sur la procédure administrative [LPA-VD; BLV 173.36]),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(PS.2022.0021 du 22 novembre 2022 consid. 2a/bb; PS.2018.0101 du 29 mai 2019 consid. 2b; PS.2018.0078 du 22 mars 2019 consid. 3b et les références). Le devoir de collaborer ne peut être soumis à des exigences trop grandes. C'est pourquoi on ne peut exiger des intéressés qu'ils fournissent des documents qu'ils n'ont pas ou qu'ils ne peuvent se procurer sans complication notable (TF 8C_702/2015 du 15 juin 2016 consid. 6.2.1, 8C_50/2015 du 17 juin 2015 consid. 3.2.1; PS.2022.0021 du 22 novembre 2022 consid. 2a/bb). Lorsque les preuves font défaut, ou si l'on ne peut raisonnablement exiger de l'autorité qu'elle les recueille, la règle de l'art. 8 CC s'applique. ee) La LRAPA ne prévoit pas de possibilités de suspendre l'octroi d'avances. Le RLRAPA dispose quant à lui, à son art. 13, intitulé " Suspension du droit 'Art. 12 LRAPA' " que " le service peut suspendre l'octroi d'avances tant que le requérant omet, refuse de fournir ou tarde à remettre les renseignements ou documents demandés ". La suspension des avances sur la base de la LRAPA n'est donc possible qu'en cas de violation de l'obligation de renseigner au sens de l'art. 12 LRAPA (PS.2020.0097 du 25 octobre 2021 consid. 3b et 4a). La LPA-VD, applicable par renvoi de l'art. 19 LRAPA, prévoit quant à elle, à son art. 25, la possibilité pour une autorité administrative de suspendre une procédure, d'office ou sur requête, pour de justes motifs, notamment lorsque la décision à prendre dépend de l'issue d'une autre procédure ou pourrait s'en trouver influencée d'une manière déterminante. Selon la jurisprudence, la LPA-VD ne permet en revanche pas de rendre des décisions de mesures provisionnelles " visant à protéger les intérêts de l'Etat " dans l'attente de l'issue d'une autre procédure (PS.2020.0097 du 25 octobre 2021 consid. 3b et 4a). b) En l'occurrence, il sied d'emblée de préciser que le fait que le conjoint de la recourante n'est pas le père biologique de l'enfant ne joue aucun rôle dans la présente cause et ne saurait justifier la suspension de la procédure prononcée par l'autorité intimée, à défaut de quoi celle-ci se livrerait à une appréciation anticipée de la situation sur le plan civil, ce qui ne relève pas de ses compétences. Pour le surplus, en l'espèce, un jugement de mesures protectrices de l'union conjugale daté du 24 novembre 2009 alloue à la recourante et à sa fille une contribution à leur entretien global de 1'700 fr. par mois. Fondé sur ce jugement, et suite à une demande déposée presque dix ans plus tard, le 5 novembre 2019, le BRAPA leur a octroyé une avance mensuelle sur pension alimentaire de 940 francs. Cette décision tenait compte d'une UER d'un adulte et un enfant – composée de la recourante et de sa fille – et des revenus de la recourante, comme le commandent les art. 9 et 9a LRAPA et 9 et 10 LHPS. Cela étant, en octobre 2020 déjà, puis au cours de l'année 2021, la situation personnelle de la recourante et de sa fille a considérablement évolué, puisque cette dernière a quitté le domicile de sa mère pour s'installer définitivement chez sa demi-sœur. Ce transfert de domicile a été dûment annoncé par la recourante au BRAPA le 15 octobre 2020, celle-ci ayant d'ailleurs expressément requis que les calculs relatifs à l'avance soient actualisés pour tenir compte, séparément, de sa situation individuelle et celle de sa fille, et que les avances soient versées en main de la demi-sœur. Ce changement a été formalisé une première fois le 9 février 2021 par la signature par la recourante d'un accord de placement. Il a encore été formalisé une seconde fois, par une ordonnance de mesures superprovisionnelles du 9 septembre 2021, confirmée le 3 janvier 2022, par laquelle la juge de paix saisie a retiré provisoirement à la recourante le droit de décider du lieu de résidence de l'enfant et a confié un mandat de placement à la DGEJ. Comme le précisait la juge de paix dans sa décision, cela impliquait que la prétention en contribution d'entretien de l'enfant passait à la DGEJ avec tous les droits qui lui étaient rattachés dès le jour du placement et que la recourante était tenue de rembourser les frais d'entretien de son enfant placée ou d'y contribuer. Il résulte de ce qui précède que, dès le placement de l'enfant le 9 février 2021, mais à tout le moins le 9 septembre 2021 au moment du retrait du droit de décider du lieu de résidence de l'enfant et du mandat confié à la DGEJ, l'UER ayant fondé l'octroi d'une avance de 940 fr. n'existait plus. Il est alors intervenu un changement dans la situation personnelle de la recourante et de sa fille au sens des art. 12 al. 1 LRAPA et 10 al. 2 let. d RLRAPA. Ce changement a bien été porté à la connaissance du BRAPA dans le respect de l'obligation d'informer incombant à la recourante. Cela étant, il entraînait la nécessité de réviser le bien-fondé des avances en examinant, séparément, le droit à une avance sur pension alimentaire de la recourante et celui de sa fille (qui ne disposait plus d'un domicile chez sa mère, cf. art. 10 al. 2, der. phr., RLHPS). Partant, dès que ces changements sont intervenus, une révision du droit devait être entreprise. Dans ce contexte de révision, il s'est toutefois avéré que la pension alimentaire fixée " pour les siens " par l'autorité civile en 2009 – qui ne distinguait pas le montant alloué à la recourante pour elle-même de celui alloué à sa fille – ne permettait pas au BRAPA de procéder à ces calculs séparés, au vu de l'absence d'une UER pour les deux créancières de la pension. Il n'était ainsi pas possible pour l'autorité intimée de procéder à la révision commandée par les circonstances. A ce moment-là, en vertu de leur devoir de collaborer à l'établissement de leur droit et de l'art. 8 CC, la recourante pour elle-même, et la DGEJ pour l'enfant, auraient dû effectuer des démarches complémentaires afin de rendre possible le calcul des avances requises. Cas échéant, elles auraient dû saisir les autorités civiles compétentes, respectivement requérir la reprise des procédures civiles suspendues, en particulier de la procédure en modification des mesures provisoires. En l'absence de toute démarche en ce sens, l'autorité intimée était fondée à suspendre la procédure de révision dont elle était saisie, dans l'attente d'une clarification de cette question sur le plan civil, qui devait lui permettre de procéder à l'évaluation du droit au fond. La décision entreprise constitue dès lors une décision de suspension de la procédure au sens de l'art. 25 LPA-VD précité. Elle est, comme on l'a vu, justifiée par l'impossibilité pour l'autorité intimée de procéder, en l'état au moment de la reddition de la décision, à la révision des avances octroyées à la recourante et à sa fille. On relèvera encore que la recourante ne peut se prévaloir du principe de la bonne foi pour exiger le versement des pensions, malgré plusieurs décisions lui allouant des avances les 5 novembre 2019, 13 novembre 2020 et 4 février 2021, les circonstances de fait qui prévalaient lors de la reddition de ces décisions ayant considérablement évolué au moment de la décision dont est recours qui, au surplus, n'a pas d'effet rétroactif (pour les conditions d'admission de la protection de la bonne foi, cf. notam. ATF 141 V 530 consid. 6.2 et PS.2020.0089 du 23 mars 2021 consid. 5). c) La décision de suspension de l'autorité intimée ne prête ainsi pas le flanc à la critique. Les griefs de la recourante, mal fondés, doivent être intégralement rejetés. Vu l'issue du recours, la question de sa recevabilité, en lien avec la nature de la décision entreprise (cf. art. 3 al. 2 et 74 al. 3 et 4 LPA-VD), peut rester ouverte. Par appréciation anticipée des preuves, il n'y avait au surplus pas lieu d'ordonner les mesures d'instruction requises par l'autorité intimée (cf. art. 28 al. 2 et art. 34 al. 3 LPA-VD; ATF 145 I 167 consid. 4.1). 2. Les considérants qui précèdent conduisent au rejet du recours et à la confirmation de la décision du 15 mars 2022. Il convient néanmoins de renvoyer la cause à l'autorité intimée afin qu'elle renseigne la recourante et sa fille, respectivement la DGEJ, sur les démarches à entreprendre afin qu'elles puissent, cas échéant, prouver leur droit à des avances sur pensions alimentaires, conformément aux prestations de conseil qu'elle dispense (cf. art. 6 al. 1 LRAPA). En fonction des démarches mises en œuvre et de leur résultat, l'autorité intimée pourra ensuite statuer sur leurs demandes au fond. a) Compte tenu de ses ressources, la recourante a été mise au bénéfice de l'assistance judiciaire avec effet au 25 avril 2022 par décision de la juge instructrice du 3 mai 2022, comprenant l'assistance d'office d'un avocat en la personne de Me Razi Abderrahim (cf. art. 18 al. 3 LPA-VD).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BLV 211.02.3 – applicable par renvoi de l'art. 18 al. 5 LPA-VD). Les débours du conseil commis d'office sont fixés forfaitairement à 5% du défraiement hors taxe en première instance judiciaire (cf. art. 3bis al. 1 RAJ). En l'occurrence, selon la liste de ses opérations du 20 octobre 2022, Me Razi Abderrahim a indiqué une durée totale de 18 heures et 20 minutes consacrée aux opérations de la cause. Celles des 25 avril 2022 et 13 juillet 2022 relatives à la préparation d'un bordereau de pièces constituent toutefois du travail de secrétariat qui n'entre pas dans le calcul des honoraires; elles seront écartées. L'indemnité de conseil d'office doit dès lors être arrêtée à un montant total de 3'018 fr. 70, correspondant à 2'669 fr. 40 d'honoraires (14.83 x 180 fr.), 133 fr. 50 de débours (5% de 2'669.40; cf. art. 3bis al. 1 RAJ) et 215 fr. 80 de TVA (7.7% de [2'669.40 + 133.50]). b) L'arrêt est rendu sans frais, la procédure dans les affaires de prestations sociales étant gratuite (art. 49 al. 1, 91 et 99 LPA-VD; art. 4 al. 3 du tarif du 28 avril 2015 des frais judiciaires et des dépens en matière administrative [TFJDA; BLV 173.36.5.1]). c) L'indemnité de conseil d'office est supportée provisoirement par le canton (cf. art. 122 al. 1 let. a du Code de procédure civile du 19 décembre 2008 [CPC; RS 272], applicable par renvoi de l'art. 18 al. 5 LPA-VD). La recourante est rendue attentive au fait qu'elle est tenue de rembourser l'assistance judiciaire dès qu'elle sera en mesure de le faire (cf. art. 123 al. 1 CPC et 39a al. 3 du Code de droit privé judiciaire vaudois du 12 janvier 2010 – BLV 211.02). Il incombe à la Direction générale des affaires institutionnelles et des communes (DGAIC) de fixer les modalités de ce remboursement (art. 5 RAJ).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