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PS.2022.0023 vom 13. Juni 2022</w:t>
      </w:r>
    </w:p>
    <w:p>
      <w:r>
        <w:t>VD Tribunal cantonal, 2022-06-13, FR</w:t>
      </w:r>
    </w:p>
    <w:p>
      <w:r>
        <w:rPr>
          <w:b/>
        </w:rPr>
        <w:t xml:space="preserve">Quelle: </w:t>
      </w:r>
      <w:r>
        <w:t>https://mcp.opencaselaw.ch/entscheid/vd_omni_PS.2022.0023</w:t>
      </w:r>
    </w:p>
    <w:p>
      <w:r>
        <w:t>FR: VD_OMNI PS.2022.0023 du 13 juin 2022</w:t>
      </w:r>
    </w:p>
    <w:p>
      <w:r>
        <w:t>IT: VD_OMNI PS.2022.0023 del 13 giugno 2022</w:t>
      </w:r>
    </w:p>
    <w:p>
      <w:pPr>
        <w:pStyle w:val="Heading2"/>
      </w:pPr>
      <w:r>
        <w:t>Regeste</w:t>
      </w:r>
    </w:p>
    <w:p>
      <w:r>
        <w:t>A.________ /Direction générale de la cohésion sociale (DGCS), Centre social régional Riviera Site de Vevey | Recours contre la décision de la DGCS confirmant la suppression du droit au RI du recourant à titre de sanction. Celui-ci a violé son obligation de renseigner en persistant à refuser de remettre au CSR une autorisation de renseigner complémentaire. Face à l'attitude du recourant, qui use de différents stratagèmes pour échapper à son obligation de collaborer, la suppression du RI pouvait valablement être prononcée comme ultima ratio. Pas de violation du principe de proportionnalité. Pas non plus d'atteinte au droit à des conditions minimales d'existence. Rejet du recours. Recours au TF irrecevable (8C_444/2022 du 13 octobre 2022).</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L'objet du litige porte sur la suppression du droit au RI de l'intéressé à titre de sanction en raison de la violation de son obligation de collaborer, laquelle a été confirmée par la décision attaquée. Le recourant ne peut conclure à l'annulation de la décision du CSR du 24 janvier 2022 à laquelle s'est substitué la décision sur recours de la DGCS du 12 avril 2022.</w:t>
      </w:r>
    </w:p>
    <w:p>
      <w:r>
        <w:rPr>
          <w:b/>
        </w:rPr>
        <w:t>E. 3</w:t>
      </w:r>
    </w:p>
    <w:p>
      <w:r>
        <w:t>Les écritures du recourant sont prolixes, son seul acte de recours totalisant 27 pages, et souvent confuses. A le suivre néanmoins, on comprend qu'il critique la manière dont l'autorité intimée a instruit et motivé sa décision (en estimant notamment que la décision a été " grossièrement bâclée " et " pas analysée de manière objective ") – grief qui paraît relever implicitement d'une violation du droit d'être entendu – , qu'il estime ne pas avoir violé ses obligations de bénéficiaire du RI et qu'il conteste la proportionnalité de la sanction, notamment dans la mesure où elle porterait atteinte à son droit fondamental à obtenir de l'aide dans des situations de détresse (art. 12 Cst.). On examinera donc ci-après ces trois griefs.</w:t>
      </w:r>
    </w:p>
    <w:p>
      <w:r>
        <w:rPr>
          <w:b/>
        </w:rPr>
        <w:t>E. 4</w:t>
      </w:r>
    </w:p>
    <w:p>
      <w:r>
        <w:t>Il convient d'abord d'examiner l'éventuelle violation du droit d'être entendu. a) Le droit d'être entendu garanti par l'art. 29 al. 2 de la Constitution fédérale de la Confédération suisse du 18 avril 1999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b) En l'occurrence, contrairement à ce que soutient le recourant, l'autorité intimée a examiné les griefs du recourant. Elle a en outre satisfait à son obligation de motivation en exposant les raisons pour lesquelles le recourant avait violé son obligation de renseigner et en quoi la suppression de son droit au RI se justifiait. Le recourant a d'ailleurs parfaitement été à même de comprendre la décision attaquée puisqu'il conteste notamment devant la cour de céans avoir violé son obligation de renseigner. Pour le surplus, on ne voit pas que l'autorité intimée aurait violé le droit d'être entendu du recourant en refusant d'ordonner une mesure d'instruction. Ce grief doit donc être rejeté.</w:t>
      </w:r>
    </w:p>
    <w:p>
      <w:r>
        <w:rPr>
          <w:b/>
        </w:rPr>
        <w:t>E. 5</w:t>
      </w:r>
    </w:p>
    <w:p>
      <w:r>
        <w:t>Il y a maintenant lieu d'examiner si la décision attaquée a retenu à juste titre que le recourant avait violé son obligation de collaborer.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(RI; art. 1 al. 2 LASV). L’art. 38 LASV prévoit, à charge de la personne qui sollicite une aide financière, une obligation de renseigner. Ainsi, la personne qui sollicite une prestation financière ou qui en bénéficie déjà fournit des renseignements complets sur sa situation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vertu de l’art. 38 al. 3 LASV,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D’après l’art. 40 al. 1 LASV, la personne au bénéfice d’une aide doit collaborer avec l’autorité d’application. La CDAP a considéré qu’il ressortait de la lettre claire du texte de l’art. 38 LASV que la demande d’informations personnelles auprès de tiers était soumise au consentement du requérant (art. 38 al. 2 et 3 LASV), sous réserve de cas où les tiers sont soumis à une obligation d’information (art. 38 al. 5 LASV; arrêt CDAP PS.2010.0041 du 3 novembre 2010 consid. 1a/bb). L'art. 38 al. 1 LASV institue une obligation pour le demandeur d'aide sociale d'autoriser l’autorité d’application du RI à demander des informations à des tiers, ce qui inclut l'autorisation de la communication à ces tiers du fait qu'il est demandeur d'aide sociale, soit d’une donnée sensible au sens de l'art. 4 al. 1 ch. 2 de la loi 11 septembre 2007 sur la protection des données personnelles (LPrD; BLV 172.65). Depuis l'entrée en vigueur le 1 er novembre 2008 de la LPrD, l'art. 38 al. 1 LASV constitue la base légale formelle pour le traitement de telles données par l'autorité d'application (arrêts CDAP PS.2010.0041 précité consid. 1a/bb; PS.2008.0073 du 20 février 2009 consid. 4). Pour être valable, le consentement requis par la LASV doit être éclairé et librement consenti. Ce principe est énoncé à l'art. 12 LPrD, à teneur duquel,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(cf. également art. 13 al. 2 Cst.). Le consentement est éclairé si la personne concernée, au moment où elle donne son autorisation, a été dûment informée (art. 12 LPrD). Elle doit ainsi être en possession des éléments lui permettant d'évaluer la portée de son autorisation (arrêts CDAP PS.2010.0041 du 3 novembre 2010 consid. 1a/cc et la réf. citée; PS.2008.0073 précité consid. 5). La CDAP a ainsi retenu que l’autorité d’application du RI était en droit d’exiger du requérant la signature d’une autorisation de renseigner complémentaire qui comprenait une liste des principales banques, caisses d’épargnes et organes de crédits actifs en Suisse. Elle a estimé qu’en signant un tel document, le requérant conférait certes un large pouvoir à l’autorité, mais conservait toutefois la faculté d’évaluer la portée de son engagement, puisque le cercle des personnes susceptibles d’être appelées à communiquer des données personnelles à son sujet était clairement défini. Le requérant était ainsi en mesure de donner valablement son consentement éclairé et, en refusant de signer l’autorisation de renseigner complémentaire en cause, il avait violé son obligation de renseigner prévue à l’art. 38 LASV (arrêt CDAP PS.2010.0041 du 3 novembre 2010 consid. 1b/bb). b) S'agissant plus particulièrement de la situation du recourant, on peut d'abord renvoyer aux développements figurant dans l'arrêt PS.2020.0040 précité dans lequel la CDAP a confirmé que le recourant avait violé son obligation de renseigner en refusant de remettre au CSR une autorisation de renseigner dûment signée. Quoi qu'en dise le recourant et comme le relève à juste titre l'autorité intimée, la demande du CSR n'a pas fondamentalement varié depuis les faits ayant donné lieu à cet arrêt. En continuant à refuser de transmettre au CSR une autorisation de renseigner complémentaire, respectivement en transmettant uniquement une autorisation valable à partir du 1 er janvier 2021 en ayant modifié de manière manuscrite la date qu'avait préinscrite le CSR, le recourant a violé son obligation de renseigner. Il n'est au surplus pas nécessaire d'examiner si, ce que le recourant conteste par de fastidieux développements, le refus de transmettre au CSR les autres documents mentionnés dans la décision du CSR du 24 janvier 2022 constitue également une violation de l'obligation de renseigner. A ce stade, on peut également se dispenser de déterminer si les éléments contenus dans le rapport d'enquête du 20 janvier 2022 – qui sont contestés par le recourant – pourraient justifier une suppression de son droit au RI. Ce grief doit donc être rejeté.</w:t>
      </w:r>
    </w:p>
    <w:p>
      <w:r>
        <w:rPr>
          <w:b/>
        </w:rPr>
        <w:t>E. 6</w:t>
      </w:r>
    </w:p>
    <w:p>
      <w:r>
        <w:t>Enfin, il sied d'examiner la proportionnalité de la sanction, notamment au regard du droit constitutionnel à obtenir de l'aide dans des situations de détresse. a)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Selon l'art. 43 RLASV,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b) Exprimé de manière générale à l'art. 5 al. 2 Cst., le principe de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133 I 110 consid. 7.1). c) Selon l'art. 12 Cst., quiconque est dans une situation de détresse et n'est pas en mesure de subvenir à son entretien a le droit d'être aidé et assisté et de recevoir les moyens indispensables pour mener une existence conforme à la dignité humaine. La garantie de l'art. 12 Cst. doit être distinguée d'autres aides ou minimas sociaux tels qu'assurés par l'ensemble des lois fédérales et cantonales, en particulier celles relatives à l'aide sociale. En ce qui concerne l'aide sociale, l'art. 12 Cst. ne fait l'objet que d'une application médiate en ce sens que son invocation en justice permet de faire vérifier que le minimum vital défini ou calculé sur la base des règles applicables équivaut au moins aux moyens indispensables pour mener une existence conformer à la dignité humaine (Jacques Dubey, Commentaire romand, n. 10 ss ad art. 12 Cst. et réf. citées). d) En l'occurrence, le recourant a persisté à ne pas remplir son obligation de renseigner malgré une précédente décision, confirmée sur recours par la CDAP, le sanctionnant pour cette même raison. Comme le démontre le fait qu'il a remis une autorisation de renseigner complémentaire modifiée de sa main s'agissant de la date à laquelle elle prend effet, le recourant utilise différents stratagèmes pour échapper à son obligation. Il n'est donc pas exclu à ce stade que le recourant cherche par ce moyen à dissimuler des moyens financiers qu'il a ou aurait eu en sa possession. Partant, face à une telle attitude, la suppression du RI pouvait valablement être prononcée comme une ultima ratio par l'autorité. Pour le surplus, la suppression du RI ne porte pas atteinte à la garantie de l'art. 12 Cst., cette disposition ne conférant pas un droit à obtenir l'aide sociale mais uniquement le minimum indispensable pour mener une existence conforme à la dignité humaine. Or, la décision attaquée n'empêche pas le recourant de faire appel à l'aide d'urgence allouée en principe sous forme de prestations en nature (art. 4a LASV). Quoi qu'il en soit, à supposer qu'il faille examiner s'il s'agit d'une restriction à un droit fondamental conforme à l'art. 36 Cst., la réponse devrait être positive. En effet, la suppression du RI repose en l'espèce sur une base légale, elle est conforme à l'intérêt public – soit le but que l'aide sociale soit versée aux personnes qui en ont effectivement besoin – et, comme on vient de le voir, elle est proportionnée au but visé. Ce grief doit donc également être rejeté.</w:t>
      </w:r>
    </w:p>
    <w:p>
      <w:r>
        <w:rPr>
          <w:b/>
        </w:rPr>
        <w:t>E. 7</w:t>
      </w:r>
    </w:p>
    <w:p>
      <w:r>
        <w:t>Il résulte de ce qui précède que le recours, mal fondé, doit être rejeté, ce qui rend la requête de restitution de l'effet suspensif sans objet, et que la décision attaquée doit être confirmée. La procédure en matière de prestations sociales est gratuite, sous réserve des recours téméraires (art. 4 al. 3 du Tarif des frais judiciaires et des dépens en matière administrative du 28 avril 2015 [TFJDA; BLV 173.36.5.1]). Même si l'argumentation du recourant confine à la témérité, il ne sera pas perçu d'émolument. Le recourant est toutefois rendu attentif que des frais pourront être mis à sa charge à l'avenir.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