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PS.2022.0011 vom 8. Mai 2023</w:t>
      </w:r>
    </w:p>
    <w:p>
      <w:r>
        <w:t>VD Tribunal cantonal, 2023-05-08, FR</w:t>
      </w:r>
    </w:p>
    <w:p>
      <w:r>
        <w:rPr>
          <w:b/>
        </w:rPr>
        <w:t xml:space="preserve">Quelle: </w:t>
      </w:r>
      <w:r>
        <w:t>https://mcp.opencaselaw.ch/entscheid/vd_omni_PS.2022.0011</w:t>
      </w:r>
    </w:p>
    <w:p>
      <w:r>
        <w:t>FR: VD_OMNI PS.2022.0011 du 8 mai 2023</w:t>
      </w:r>
    </w:p>
    <w:p>
      <w:r>
        <w:t>IT: VD_OMNI PS.2022.0011 del 8 maggio 2023</w:t>
      </w:r>
    </w:p>
    <w:p>
      <w:pPr>
        <w:pStyle w:val="Heading2"/>
      </w:pPr>
      <w:r>
        <w:t>Regeste</w:t>
      </w:r>
    </w:p>
    <w:p>
      <w:r>
        <w:t>A.________ /Direction générale de la cohésion sociale (DGCS), Centre social régional de Nyon-Rolle | Admission du recours contre la décision de la DGCS confirmant la décision du CSR d'exiger le remboursement de la totalité du RI que la recourante aurait indûment perçu entre mai 2017 et janvier 2019. A l'issue d'une enquête diligentée par ses soins, le CSR avait admis l'existence d'un concubinage qualifié entre la recourante et un tiers, père de son quatrième enfant. Au terme de l’appréciation des preuves, le Tribunal retient comme la situation la plus vraisemblable que la recourante et ce tiers ont gardé des contacts, parfois étroits, principalement, voire exclusivement, afin que ce dernier puisse exercer son droit de visite; pour autant, on ne saurait en déduire l’existence d’un concubinage qualifié entre la recourante et le père de son quatrième enfant, ni même retenir qu’ils auraient fait ménage commun. Il en résulte que, contrairement à ce que retient la décision attaquée, la situation de la recourante ne s’est pas modifiée par rapport à ce qu’elle avait annoncé au CSR et que ce n’est pas de façon indue que la recourante a perçu le montant dont le remboursement lui est réclamé.</w:t>
      </w:r>
    </w:p>
    <w:p>
      <w:pPr>
        <w:pStyle w:val="Heading2"/>
      </w:pPr>
      <w:r>
        <w:t>Erwägungen</w:t>
      </w:r>
    </w:p>
    <w:p>
      <w:r>
        <w:rPr>
          <w:b/>
        </w:rPr>
        <w:t>E. 1</w:t>
      </w:r>
    </w:p>
    <w:p>
      <w:r>
        <w:t>a) La loi cantonale du 2 décembre 2003 sur l'action sociale vaudoise (LASV; RSV 850.051) renvoit, à son art. 74 al. 2, 2 e phr., à la loi vaudoise du 28 octobre 2008 sur la procédure administrative (LPA-VD; RSV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La recourante se plaint d’une violation de son droit d’être entendue, dans la mesure où l’autorité intimée a statué sans avoir donné suite aux mesures d’instruction qu’elle a requises durant la procédure. 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aa)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 bb) Le droit d'être entendu est une garantie de nature formelle, dont la violation entraîne en principe l'annulation de la décision attaquée, indépendamment des chances de succès du recours sur le fond; l 'intéressé n'a pas à prouver que s'il avait été entendu, la décision aurait été différente, mais il suffit qu'il établisse n'avoir pu exercer son droit ( ATF 137 I 195 consid.</w:t>
      </w:r>
    </w:p>
    <w:p>
      <w:r>
        <w:rPr>
          <w:b/>
        </w:rPr>
        <w:t>E. 2.2</w:t>
      </w:r>
    </w:p>
    <w:p>
      <w:r>
        <w:t>p. 197; 135 I 279 consid. 2.6.1 p. 285; 122 II 464; 120 V 357; Pierre Moor/Etienne Poltier, Droit administratif, Volume II, Les actes administratifs et leur contrôle, 3 e éd., Berne 2011, ch. 2.2.7.4). Par exception au principe de la nature formelle du droit d'être entendu, une violation de ce dernier est toutefois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Il n’en demeure pas moins que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2C_980/2013 du 21 juillet 2014 consid. 4.3). cc) Devant les autorités administratives et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inspection locale (let. b); expertises (let. c); documents, titres et rapports officiels (let. d); renseignements fournis par les parties, des autorités ou des tiers (let. e); témoignages (let. f). Les autorités administratives et judiciaires ne sont toutefois pas liées par les offres de preuves formulées par les parties (art. 28 al. 2 LPA-VD); elles doivent examiner les allégués de fait et de droit et administrer les preuves requises, si ces moyens n'apparaissent pas d'emblée dénués de pertinence (art. 34 al. 3 LPA-VD). b) Devant l’autorité intimée, autorité inférieure de recours à laquelle les art. 73s. LPA-VD sont applicables, la recourante a contesté entretenir une relation durable avec F.________ . Elle a admis que ce dernier s’était rendu régulièrement à son domicile de ********, ajoutant qu’il venait rendre visite à sa fille. La recourante a offert de prouver qu’en 2018 et en 2019, elle avait fréquenté plusieurs sites de rencontres et qu’elle avait entretenu une relation durant plusieurs semaines, successivement avec M.________ et N.________; elle a requis l’audition de ces derniers par l’autorité inférieure de recours. Or, l’autorité intimée a statué sans donner suite aux réquisitions de la recourante. Sans l’indiquer expressément, elle a considéré, par appréciation anticipée des preuves, que ces réquisitions n’étaient pas de nature à remettre en cause l’appréciation par les enquêteurs des faits constatés, ni leur conséquence, à savoir la violation par la recourante de son obligation de renseignement sur la situation de son ménage. La première question matérielle à résoudre dans le cas d’espèce est de savoir si la recourante a violé son obligation de renseigner le CSR en dissimulant le fait qu’elle vivait en concubinage avec F.________ . Or, il est très douteux que l’on puisse reprocher à l’autorité intimée d’avoir statué en violation du droit de la recourante d’être entendue. La Cour de céans partage le point de vue de l’autorité intimée selon lequel l’audition du prénommé n’est pas de nature à apporter un éclairage déterminant sur cette question. Au vu de ce qui suit, cette question peut cependant demeurer indécise. c) Pour répondre à la question de savoir si la recourante a violé son obligation de renseignement, consacrée à l’art. 38 de la loi cantonale du 2 décembre 2003 sur l'action sociale vaudoise (LASV; BLV 850.051) , il importe au préalable de vérifier si la recourante menait effectivement une vie de couple avec F.________. La décision attaquée retient à cet égard que la recourante a fait ménage commun avec ce dernier, dès son emménagement à ******** en mai 2017 et ce jusqu'à son départ du canton, soit durant toute la période d'aide et d'intervention du CSR; elle ajoute plus loin qu’ayant eu un enfant commun, la recourante et F.________ sont présumés vivre en concubinage.</w:t>
      </w:r>
    </w:p>
    <w:p>
      <w:r>
        <w:rPr>
          <w:b/>
        </w:rPr>
        <w:t>E. 3</w:t>
      </w:r>
    </w:p>
    <w:p>
      <w:r>
        <w:t>La LASV a pour but de venir en aide aux personnes rencontrant des difficultés sociales ou dépourvues des moyens nécessaires à la satisfaction de leurs besoins indispensables pour mener une existence conforme à la dignité humaine; elle règle l'action sociale cantonale, qui comprend la prévention, l'appui social et le RI (cf. art. 1 er al. 1 et 2 LASV). a)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Le règlement d’application de la LASV, du 26 octobre 2005 (RLASV; BLV 850.051.1) précise, à son art. 17, que le RI est accordé sur demande signée par chaque membre majeur du ménage (conjoint, partenaire enregistré, personne menant de fait une vie de couple) ou son représentant légal (al. 1).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(al. 2). L'art. 17a RLASV ajoute que sont présumées comme menant de fait une vie de couple au sens de l'art. 31 al. 2 LASV les personnes qui ont un ou plusieurs enfants communs avec la personne avec qui elles vivent (let. a) ou qui vivent ensemble dans le même ménage depuis au moins cinq ans (let. b). 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PS.2020.0090 du 14 mai 2021 consid. 3a; PS.2019.0015 du 23 avril 2020 consid. 3b; PS.2018.0028 du 13 février 2019 consid. 1c/bb).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p. 117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pp.117/118 et les références).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PS.2022.0022 du 24 mars 2023 consid. 2a/cc; PS.2020.0090 du 14 mai 2021 consid. 3a ; PS.2019.0015 du 23 avril 2020 consid. 3c; PS.2018.0085 du 11 avril 2019 consid. 2f; PS.2018.0028 du 13 février 2019 consid. 2; PS.2016.0081 du 25 juillet 2017 consid. 4a).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PS.2020.0090 du 14 mai 2021 consid. 3a ; PS.2019.0008 du 17 janvier 2020 consid. 3b).</w:t>
      </w:r>
    </w:p>
    <w:p>
      <w:r>
        <w:rPr>
          <w:b/>
        </w:rPr>
        <w:t>E. 4</w:t>
      </w:r>
    </w:p>
    <w:p>
      <w:r>
        <w:t>En la présente espèce, l’autorité intimée s’est exclusivement fondée sur les constatations des enquêteurs du CSR; elle a passé outre les explications de la recourante, qui nie l’existence d’un concubinage qualifié entre elle et F.________. a) Les enquêteurs ont fait plusieurs constatations troublantes. On gardera tout d’abord à l’esprit que la gérance de l’immeuble abritant le logement de la recourante a informé le CSR, au début du mois de février 2019, de la présence régulière à cet endroit du véhicule de F.________. Or, les enquêteurs sont passés à plusieurs reprises entre le 13 et le 28 février 2019 et à chaque fois, ont effectivement relevé la présence, devant le domicile de la recourante, du fourgon ********, plaques VD ********, mis à disposition de F.________ . L'enquête s’est du reste poursuivie auprès du voisinage, ce qui a conduit le CSR à retenir que l’intéressé habitait avec la recourante depuis le premier jour de leur emménagement à ******** en mai 2017. Le 28 février 2019, les enquêteurs ont du reste surpris l’intéressé devant la maison, alors qu’il venait de sortir du logement de la recourante par une fenêtre. En deuxième lieu, l’attitude de la recourante démontre un refus de toute collaboration. Or, s elon l'art. 40 al. 1 LASV, la personne au bénéfice d'une aide doit collaborer avec l'autorité d'application. La recourante a tout d’abord refusé que les enquêteurs visitent son appartement; puis, après avoir admis que F.________ venait chez elle depuis son opération, elle a refusé que les enquêteurs auditionnent ce dernier. La recourante ne s’est pas départie de cette attitude par la suite, puisqu’elle n’a jamais daigné donner suite à la demande de renseignement complémentaire qui lui a été adressée le 28 février 2019 par le CSR. Les autres renseignements obtenus par le CSR de la part de tiers semblent par ailleurs aller dans le sens d’un ménage commun formé par la recourante et le père de son quatrième enfant. Les autorités communales de ******** ont confirmé au CSR que F.________ n’habitait pas le village de ********, où il s’était pourtant inscrit. Le garagiste L.________, propriétaire du fourgon mis à disposition de F.________ a en outre indiqué aux enquêteurs que ce dernier avait besoin d'un gros bus, car il lui avait dit avoir beaucoup d'enfants; or, la recourante est mère de quatre enfants. L.________ a ajouté sur ce point que F.________ devait œuvrer dans la région d'******** et qu'en mars, il allait déménager dans cette région pour se rapprocher de son emploi. On sait que la recourante a déménagé dans un premier temps à ********, qui est séparé d’******** par 30km environ, soit un trajet de 25 mn en voiture (contre 67 km et 47 min entre ******** et ********), avant d’emménager par la suite à ********. Les éléments recueillis durant l’enquête du CSR constituent des indices d’un ménage commun formé par la recourante et le père de son quatrième enfant, voire d’un réel concubinage entre eux. La collaboration aléatoire de la recourante, sinon son refus de toute collaboration, pourraient sans doute être recherchés dans la crainte que le CSR ne découvre la vérité sur sa véritable situation. La recourante tente, certes, de justifier son absence de collaboration avec le CSR par son état de santé (elle souffre d’un syndrome de narcolepsie; cf. attestation médicale du Dr. ********, du 28 janvier 2021), mais cela paraît un peu court. b) L’autorité intimée a retiré de ce qui précède que la recourante et F.________, qui ont un enfant commun, menaient une vie de couple, comme le présume l’art. 17a RLASV. Or, a u terme de l’instruction, il convient à cet égard d’être prudent. Sans doute, la recourante et F.________ ont eu une fille, G.________; en outre, au moment de l’enquête, ils se connaissaient depuis au moins cinq ans, puisque cette dernière est née le 28 mai 2014. Toutefois, leur cohabitation, qui remonte à l’époque où la recourante habitait à ********, semble plutôt avoir été brève. Dans son recours devant l’autorité intimée, la recourante a expliqué que sa relation avec F.________ n'avait jamais été sérieuse; elle a dit y avoir mis fin rapidement, ne souhaitant pas s’engager durablement depuis son divorce d’avec E.________, père de ses trois premiers enfants et qui souffrirait de troubles psychiques (il perçoit du reste une rente AI). Lors de son audition, la recourante a ajouté qu’elle n’avait jamais habité avec F.________ , ce qui ressort également de la déposition de ce dernier. L a recourante est tombée enceinte de G.________, alors qu’elle ne vivait déjà plus en couple avec F.________ à cette époque. Ce dernier est du reste père de deux autres enfants, aujourd’hui majeurs, nés de son mariage dissous par divorce en 2010. Il a reconnu n’avoir habité le village de ********, où il louait une chambre dans un appartement, qu’une semaine et demie; le reste du temps, il a vécu chez sa sœur, à ********, avant d’emménager à ********, puis à ********. La recourante et F.________ ont toutefois continué à entretenir de bons contacts depuis lors. Certes, la reconnaissance par ce dernier de sa paternité sur G.________ a pris un certain temps; en effet, l’enfant portait à sa naissance le nom du mari de sa mère, d’une part, et un conflit négatif de compétence semble avoir opposé les tribunaux civils du canton de ******** et du canton de ********, d’autre part. Lorsque sa paternité sur G.________ a été établie, F.________ a régulièrement versé à la recourante une contribution mensuelle pour l’entretien de sa fille. Il détient du reste un droit de visite sur G.________, qui s’étend à un week-end sur deux et à la moitié des vacances scolaires; dans les faits cependant, F.________ voit sa fille, à laquelle il est très attaché, chaque semaine. A une certaine époque, il voyait même G.________ tous les jours au domicile de la recourante, à ********, en particulier lorsqu’il travaillait à ********. Cela pourrait expliquer que la présence de son véhicule ait régulièrement été constatée à proximité du domicile de la recourante, comme l’a indiqué le témoin I.________. En outre, comme G.________ ne peut pas dormir ailleurs que chez elle, F.________ la ramenait chez la recourante pour la nuit. Il a toutefois admis qu’il avait dormi à six ou sept reprises à ********. A cela s’ajoute que la recourante s’est fait opérer pour la troisième fois du genou en janvier 2019 – ce qu’elle avait du reste indiqué aux enquêteurs et qui est attesté médicalement – de sorte qu’il lui était impossible de s'occuper seule de ses quatre enfants durant sa convalescence. Or, durant cette période, F.________ s’est rendu plus fréquemment au domicile de la recourante pour l'assister et lui rendre des services, notamment grâce au fourgon mis à sa disposition, et a dormi – régulièrement semble-t-il – dans l’appartement de ********. Il a également aidé la recourante à déménager de ******** à ********. Du reste, on constate que cette période a plus ou moins coïncidé avec celle de l’enquête du CSR. Il n’est donc guère étonnant que les enquêteurs aient surpris F.________ un matin, alors qu’il quittait le domicile de la recourante. On gardera à l’esprit que les relations entre la recourante et F.________ n’ont pas été dépourvues de tensions. Ainsi, pendant les fêtes de fin d’année 2018-2019, G.________ ayant contracté une mononucléose avec une double otite, F.________ n’a pas pu voir sa fille durant quatre semaines et la recourante a refusé de lui ouvrir, ce qu’il n’a pas compris. Il a fait appel à la police et la recourante, harcelée, a dû s’adresse au Centre LAVI. Après avoir fait appel à un médiateur, F.________ a finalement pu voir G.________ le 1 er janvier 2019. La recourante et F.________ ont par ailleurs nié avoir entretenu des relations intimes lorsque ce dernier a dormi à ********. Supposé avéré, le fait contraire ne serait toutefois pas déterminant, à lui seul, pour retenir qu’ils mènent une vie de couple. Comme on l’a rappelé au considérant précédent, la recourante a du reste offert de prouver qu’en 2018 et en 2019, elle avait entretenu une relation durant plusieurs semaines, successivement avec M.________ et N.________, dont elle avait fait la connaissance sur des sites de rencontres. c) Au vu de ce qui précède, les explications que la recourante a fournies, tant dans ses écritures qu’en audience, ne peuvent être écartées; ceci d’autant moins que les constatations des enquêteurs du CSR sont limitées au seul mois de février 2019 (cf. par comparaison, arrêt PS.2020.0039 du 4 janvier 2021, dans lesquelles de nombreuses constatations ont été faites par les enquêteurs sur une période de huit mois pour démontrer l’existence d’un concubinage qualifié). Il est vrai que d’autres éléments contradictoires ont également été recueillis en audience; toutefois ceux-ci ne permettent pas de dénier toute valeur probante aux explications de la recourante. Ainsi, selon le témoin I.________, F.________ accompagnait la recourante lorsque cette dernière a visité l’appartement de ******** avant de le prendre à bail le 30 avril 2017. F.________ a reconnu ce qui précède, ajoutant que l’éloignement de sa fille était pour lui une situation compliquée à vivre. Pour I.________ en outre, il semble ne faire guère de doute que la recourante et F.________ ont fait ménage commun depuis le jour où cette dernière a emménagé à ********. On relève également sur ce point que la recourante a, durant la procédure, tenté de relativiser le contenu de la dénonciation de la gérance d’immeubles au CSR, en faisant valoir des tensions avec elle. Il ressort en outre du journal du CSR que la recourante aurait refusé que ce dernier prenne contact avec la gérante, I.________. De la déposition de cette dernière, on retire cependant que la recourante a effectivement eu un différend avec sa voisine, soit la propre fille d’I.________, au sujet de son chien. F.________ a du reste confirmé que l’entente entre les deux voisines n’était pas très bonne. Dès lors, il importe d’apprécier avec une certaine prudence aussi bien les éléments recueillis par les enquêteurs, tant auprès de la gérance de l’immeuble que du voisinage de la recourante, que la déposition d’I.________ dont il pourrait ressortir que la recourante a mené à ******** une vie de couple avec le père de G.________. d) Ainsi, au terme de l’appréciation des preuves, on retient comme la situation la plus vraisemblable que la recourante et F.________ ont continué à garder des contacts, parfois étroits, principalement, voire exclusivement, pour que ce dernier puisse exercer son droit de visite sur G.________. F.________ s’est ainsi régulièrement rendu chez la recourante, à ********, et y a même logé, à tout le moins durant les mois de janvier et février 2019. Pour autant, on ne saurait en déduire l’existence d’un concubinage qualifié entre la recourante et le père de son quatrième enfant, ni même retenir qu’ils auraient fait ménage commun, sinon durant une brève période qui serait de toute façon insuffisante à cet égard. On rappelera que l'existence d’une union libre stable entraînant des obligations d’entraide comparables à celle d’un mariage n'est admise qu'avec retenue par la jurisprudence (cf. consid. 3b ci-dessus) et que, s'agissant de faits pouvant conduire à la réduction ou à la suppression de l'aide sociale, il appartient à l'autorité d'en apporter la preuve (cf. consid. 3c ci-dessus). A l’issue de l’instruction, i l est difficile de retenir in casu que l'existence, entre la recourante et F.________ , de liens aussi étroits que ceux qui unissent des époux, soit à tout le moins ceux d’une communauté de vie assimilable à un mariage, est établie à un degré de vraisemblance prépondérante. Or, il s’agit de l’exigence posée par la jurisprudence pour que l’on retienne une communauté dans l'évaluation des besoins d'assistance dans un ménage, comme on l’a vu plus haut. Par conséquent, les éléments recueillis ne permettent pas de présumer que la recourante et F.________ ont mené de fait une vie de couple , assimilable au mariage, au sens où l’entend l’art. 17a RLASV.</w:t>
      </w:r>
    </w:p>
    <w:p>
      <w:r>
        <w:rPr>
          <w:b/>
        </w:rPr>
        <w:t>E. 5</w:t>
      </w:r>
    </w:p>
    <w:p>
      <w:r>
        <w:t>La décision attaquée confirme la restitution par la recourante de la somme de 52'351 fr.85, qui correspond au RI qui lui a été versé par le CSR entre les mois de mai 2017 et janvier 2019. L’autorité intimée reproche à la recourante d’avoir violé son obligation de renseigner de manière complète le CSR (cf. art. 38 LASV) en ne lui indiquant pas, lors de sa demande de RI, qu’elle vivait en concubinage avec F.________. Pour l’autorité intimée, dès l’instant où F.________ n'a pas signé la demande commune de RI, contrairement à ce qu’exige l’art. 17 al. 1 RLASV, la recourante n'avait pas droit au versement de celui-ci. Par conséquent, elle considère l’intégralité de la somme perçue par cette dernière entre les mois de mai 2017 et janvier 2019, soit 52'351 fr.85, comme étant indue, vu l’art. 41 al. 1 let. a LASV. A partir du moment où les éléments recueillis dans le cas d’espèce sont insuffisants pour retenir au degré de la vraisemblance prépondérante l’existence d’une communauté de vie assimilable au mariage formée par F.________ et la recourante, il y a lieu d’admettre que cette dernière n’avait pas l’obligation d’annoncer au CSR qu’elle avait conservé des contacts avec le père de son quatrième enfant, auquel il est arrivé de dormir occasionnellement ou pour une période limitée dans son appartement. On retiendra donc que la situation de la recourante ne s’est pas modifiée au regard de ce qu’elle a annoncé au CSR, contrairement à ce que retient la décision attaquée. Dès lors, ce n’est pas de façon indue que le montant dont l’autorité intimée réclame le remboursement à la recourante a été perçu par cette dernière. Par conséquent, les conditions permettant à l’autorité d’exiger le remboursement du RI ne sont pas réunies.</w:t>
      </w:r>
    </w:p>
    <w:p>
      <w:r>
        <w:rPr>
          <w:b/>
        </w:rPr>
        <w:t>E. 6</w:t>
      </w:r>
    </w:p>
    <w:p>
      <w:r>
        <w:t>a) Les considérants du présent arrêt conduisent à l’admission du recours. La décision attaquée sera réformée, en ce sens que la décision du CSR du 27 janvier 2021 est annulée. b) Le présent arrêt sera rendu sans frais (cf. art. 49 al. 1, 91 et 99 LPA-VD; 4 al. 3 du tarif des frais judiciaires et des dépens en matière administrative, du 28 avril 2015 [TFJDA; BLV 173.36.5.1]). c) Compte tenu de ses ressources, la recourante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110 fr. pour les opérations effectuées par un avocat-stagiaire (ibid. let. b) et aux débours figurant sur la liste des opérations et débours (art. 3 al. 1 RAJ). En cas d'admission de la requête d’assistance judiciaire, sont indemnisés les frais nécessaires de défense encourus depuis le dépôt de la demande d'assistance judiciaire. S'agissant de la période antérieure, seules les prestations fournies en lien avec la phase de procédure lors de laquelle l’assistance judiciaire a été requise sont en principe prises en compte; cela inclut en particulier le travail de rédaction du mémoire déposé en même temps que la requête d'assistance judiciaire (cf. arrêt PE.2020.0173 du 14 juillet 2021 consid. 2d, réf. citées). En l'occurrence, l’assistance judiciaire a été octroyée avec effet au 18 février 2022, date de l’acte de recours; toutefois, on admettra que l’indemnisation s’étende aux opérations comptabilisées à compter du 27 janvier 2022, dans la mesure où elles sont en lien direct avec la rédaction du recours. Compte tenu de la liste des opérations produite, l’indemnité de Me Jean-Luc Maradan peut être arrêtée, pour cette période et jusqu’au 6 avril 2023 à 4'670 fr.75, soit 3'773 fr.15 d'honoraires ([13h35 x 180 fr.] + [12h05 x 110 fr.]), 563 fr.65 fr. de débours, y compris les frais de vacation (cf. art. 3 bis RAJ) et 308 fr.55 fr. de TVA ([3’459 fr. + 547 fr.95] x 7,7%). d) L’indemnité du conseil d'office est supportée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e) Des dépens seront alloués à la recourante, qui obtient gain de cause avec l’assistance d’un conseil (cf. art. 55 al. 1, 91 et 99 LPA-VD). L’indemnité sera mise à la charge du Département de tutelle de l’autorité intimée. Le montant des dépens alloués devra être porté en déduction de l’indemnité due au conseil de la recourante, selon la lettre c)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