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PS.2022.0006 vom 1. September 2022</w:t>
      </w:r>
    </w:p>
    <w:p>
      <w:r>
        <w:t>VD Tribunal cantonal, 2022-09-01, FR</w:t>
      </w:r>
    </w:p>
    <w:p>
      <w:r>
        <w:rPr>
          <w:b/>
        </w:rPr>
        <w:t xml:space="preserve">Quelle: </w:t>
      </w:r>
      <w:r>
        <w:t>https://mcp.opencaselaw.ch/entscheid/vd_omni_PS.2022.0006</w:t>
      </w:r>
    </w:p>
    <w:p>
      <w:r>
        <w:t>FR: VD_OMNI PS.2022.0006 du 1 septembre 2022</w:t>
      </w:r>
    </w:p>
    <w:p>
      <w:r>
        <w:t>IT: VD_OMNI PS.2022.0006 del 1 settembre 2022</w:t>
      </w:r>
    </w:p>
    <w:p>
      <w:pPr>
        <w:pStyle w:val="Heading2"/>
      </w:pPr>
      <w:r>
        <w:t>Regeste</w:t>
      </w:r>
    </w:p>
    <w:p>
      <w:r>
        <w:t>A.________ /Direction générale de la cohésion sociale (DGCS), Centre social régional JURA-NORD VAUDOIS | Une éventuelle violation du droit d'être entendu au motif que la recourante n'aurait pas pu consulter l'entier du dossier avant la reddition de la décision a été réparée au stade du recours (c. 2). Le tribunal ne saurait entrer en matière sur des griefs qui vont au-delà de l'objet de la décision attaquée: lorsqu'une décision se contente de supprimer le droit au RI, les conclusions du recours tendant à statuer sur le montant du remboursement des prestations RI versées antérieurement sont irrecevables. La recourante étant en possession de biens supérieurs à la limite de fortune à la suite d'un héritage, la décision de suppression du RI est bien-fondée. Rejet du recours.</w:t>
      </w:r>
    </w:p>
    <w:p>
      <w:pPr>
        <w:pStyle w:val="Heading2"/>
      </w:pPr>
      <w:r>
        <w:t>Erwägungen</w:t>
      </w:r>
    </w:p>
    <w:p>
      <w:r>
        <w:rPr>
          <w:b/>
        </w:rPr>
        <w:t>E. 1</w:t>
      </w:r>
    </w:p>
    <w:p>
      <w:r>
        <w:t>Dès lors qu’elle n’est pas susceptible de recours devant une autre autorité, la décision de la DGCS peut faire l’objet d’un recours de droit administratif au Tribunal cantonal au sens des art. 92 ss de la loi du 28 octobre 2008 sur la procédure administrative (LPA-VD; BLV 173.36). Le recours a pour le surplus été formé en temps utile (art. 95 LPA-VD) et il satisfait aux autres conditions de recevabilité (art. 75 al. 1 let. a, 79 al. 1 et 99 LPA-VD), si bien qu’il y a lieu d’entrer en matière.</w:t>
      </w:r>
    </w:p>
    <w:p>
      <w:r>
        <w:rPr>
          <w:b/>
        </w:rPr>
        <w:t>E. 2</w:t>
      </w:r>
    </w:p>
    <w:p>
      <w:r>
        <w:t>Dans un premier grief d'ordre formel, la recourante se plaint d'une violation de son droit d'être entendue car elle n'aurait pas eu accès à l'entier de son dossier et que les conditions de mises à disposition de ce dossier étaient particulièrement chicanières. a) Tel que garanti à l'art. 29 al. 2 de la Constitution fédérale de la Confédération suisse du 18 avril 1999 (Cst.; RS 101), le droit d'être entendu implique notamment le droit de prendre connaissance du dossier (ATF 136 I 265 consid. 3.2) – qui s'étend à toutes les pièces décisives (ATF 132 II 485 consid. 3.2, 121 I 225 consid. 2a) – et le droit de participer à l'administration des preuves essentielles (ATF 135 I 279 consid. 2.3, 133 I 270 consid. 3.1).  Le droit d'accès au dossier ne comprend, en règle générale, que le droit de consulter les pièces au siège de l'autorité, de prendre des notes ( ATF 131 V 35 consid. 4.2; 122 I 109 consid. 2b, 115 Ia 293 consid. 5) et, pour autant que cela n'entraîne aucun inconvénient excessif pour l'administration, de faire des photocopies (ATF 117 Ia 424  consid. 28; 116 Ia 325 consid. 3d/aa). La LPA-VD précise que les parties et leurs mandataires peuvent en tout temps consulter le dossier de la procédure (art. 35 al. 1). La consultation a lieu au siège de l'autorité appelée à statuer; sauf motifs particuliers, le dossier est adressé pour consultation aux mandataires professionnels (art. 35 al. 3). L'autorité doit délivrer copie des pièces. Elle peut prélever un émolument (art. 35 al. 4). b) La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133 I 201 consid. 2.2; 132 V 387 consid. 5.1 et les références citées). c) En l'occurrence, il ressort clairement du dossier que le mandataire de la recourante a requis du CSR le 26 octobre 2021 qu'il lui fasse parvenir le dossier de sa cliente. Au vu de la pratique en vigueur et de l’art. 35 al. 3 LPA-VD, ce mandataire pouvait s'attendre à ce que ce dossier lui soit envoyé, même s'il était d'un certain volume. Cela étant, il ressort également de la procédure que ce dossier a toujours été à la disposition de la recourante au siège du CSR. La recourante ne s'est donc pas formellement vu refuser l'accès au dossier. Il semble que seules quelques pièces soient parvenues à la DGCS avant qu'elle ne rende la décision attaquée. Le dossier a en revanche été entièrement produit devant la CDAP et la recourante aurait pu en prendre pleinement connaissance dans ce cadre. Elle n'en a toutefois pas sollicité la consultation, vraisemblablement au bénéfice d'une prise de connaissance antérieure dans le cadre du recours encore pendant devant la DGCS. Ainsi, la recourante a eu la possibilité de consulter toutes les pièces et de s'exprimer à leur sujet tout au moins au stade de la réplique. Cela est de nature à permettre qu'un éventuel vice, dans la procédure antérieure, soit guéri par l'autorité de recours. En effet, comme rappelé plus haut, la violation du droit d'être entendu peut être réparée devant l'autorité de recours, à condition que cette dernière dispose du même pouvoir d'examen que l'autorité inférieure et pour autant qu'il n'en résulte aucun préjudice pour la partie lésée, ce qui est le cas en l'espèce (ATF 135 I 279 consid. 2.6.1). Au demeurant, les pièces que la recourante aurait souhaité consulter concernent des faits se rapportant aux conditions de remboursement des prestations RI. Or, comme on le verra plus bas, les griefs y relatifs sont irrecevables. Les pièces en question ne sont pas pertinentes pour traiter de la suppression du droit au RI. Pour se déterminer sur cette question, le conseil de la recourante disposait donc des informations utiles, à savoir principalement l'état du compte Postfinance de sa cliente en septembre 2021, attestant des versements consécutifs au partage. Dans ces conditions, l'absence d'accès aux autres pièces composant le dossier de la recourante semble dénuée d'importance pratique et il n'en aurait de toute façon résulté aucun préjudice pour la recourante dans le cadre de la présente procédure.</w:t>
      </w:r>
    </w:p>
    <w:p>
      <w:r>
        <w:rPr>
          <w:b/>
        </w:rPr>
        <w:t>E. 3</w:t>
      </w:r>
    </w:p>
    <w:p>
      <w:r>
        <w:t>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(art. 1 al. 1 et 2 LASV). Le RI comprend une prestation financière et peut, cas échéant, également comprendre des prestations sous forme de mesures d'insertion sociale ou professionnelle (art. 27 LASV). La prestation financière est composée d'un montant forfaitaire pour l'entretien, d'un montant forfaitaire destiné à couvrir les frais particuliers pour les adultes et d'un supplément correspondant au loyer effectif dans les limites fixées par le règlement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à charge (art. 31 al. 2 LASV). La prestation financière est versée selon les conditions de ressources prévues par la CSIAS (Conférence suisse des institutions d'action sociale). Le règlement peut prévoir des limites de fortune plus élevées dès l'âge de 57 ans révolus (art. 32 LASV). La prestation financière est accordée à toute personne qui se trouve dépourvue des moyens nécessaires pour satisfaire les besoins vitaux et d'autres besoins personnels spécifiques importants (art. 34 LASV). L'art. 18 al. 1 du règlement d'application du 26 octobre 2005 de la LASV (RLASV; BLV 850.051.1) prévoit que le RI peut être accordé lorsque le patrimoine du requérant, de son conjoint, de son partenaire enregistré ou de la personne qui mène de fait une vie de couple avec lui comprend des actifs n'excédant pas les limites de fortune prévues par la Conférence suisse des institutions d'action sociale (CSIAS), à savoir, en particulier, 4'000 fr. pour une personne seule. Selon l'art. 19 al. 1 let. b RLASV, sont notamment considérés comme fortune les valeurs mobilières et créances de toute nature telles que créances garanties par gage, les dépôts et comptes bancaires ou postaux. L'art. 31 al. 2 RLASV prévoit que la prestation est supprimée dès que l'une des conditions dont elle dépend n'est plus remplie. S'agissant de l'obligation de rembourser des prestations RI, l'art. 41 al. 1 LASV prévoit que la personne qui, dès la majorité, a obtenu des prestations du RI, y compris les frais particuliers ou aides exceptionnelles, est tenue au remboursement, lorsqu'elle entre en possession d'une fortune mobilière ou immobilière (let. b).</w:t>
      </w:r>
    </w:p>
    <w:p>
      <w:r>
        <w:rPr>
          <w:b/>
        </w:rPr>
        <w:t>E. 4</w:t>
      </w:r>
    </w:p>
    <w:p>
      <w:r>
        <w:t>La recourante ne conteste pas avoir perçu un héritage à hauteur de fr. 238'128.37. Elle soutient en revanche dans son recours qu'elle n'a pas bénéficié d'un appui social adéquat du CSR alors qu'elle avait saisi l'office AI du canton de Vaud d'une demande de prestations de l'assurance-invalidité. Cette absence d'appui social lui aurait causé un dommage, dont le CSR n'a pas tenu compte dans le calcul du montant à rembourser. La recourante conteste également le montant de fortune déductible pris en compte pas le CSR pour définir les prestations RI à restituer. Selon elle, la fortune déterminante devrait correspondre au montant de fortune applicable en matière de prestations complémentaires AVS/AI, qui serait plus élevé que les fr. 30'000.- retenus. Dans sa réplique, la recourante expose encore en substance qu'il n'est pas soutenable de considérer qu'elle n'est pas indigente – et n'a donc pas droit au RI – alors qu'un montant de fr. 193'013.30 lui a été réclamé en remboursement. Pour cette raison, elle n'a potentiellement pas de capacité financière suffisante et devrait pouvoir continuer à bénéficier du RI.</w:t>
      </w:r>
    </w:p>
    <w:p>
      <w:r>
        <w:rPr>
          <w:b/>
        </w:rPr>
        <w:t>E. 5</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d'après les conclusions du recours, il est remis en question par la partie recourante.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pas dans l'objet du litige. L'objet du litige peut donc être réduit par rapport à l'objet de la contestation. Il ne peut en revanche pas, sauf exception, s'étendre au-delà de celui-ci (ATF 144 II 359 consid. 4.3; arrêts TF 8C_636/2020 du 8 juin 2021 consid. 3.2.1; 8C_619/2019 du 3 juillet 2020 consid. 4.2.1).</w:t>
      </w:r>
    </w:p>
    <w:p>
      <w:r>
        <w:rPr>
          <w:b/>
        </w:rPr>
        <w:t>E. 6</w:t>
      </w:r>
    </w:p>
    <w:p>
      <w:r>
        <w:t>En l'espèce, la décision attaquée porte sur la suppression du droit au RI de la recourante en raison de l'héritage dont elle a bénéficié en septembre 2021 à hauteur de fr. 238'128.37. Cette décision ne concerne pas le remboursement des prestations RI versées antérieurement à la recourante. Cette restitution fait l'objet d'une décision distincte, à savoir la décision du 26 octobre 2021. Dans ces conditions, les conclusions de la recourante tendant à fixer le montant du remboursement du RI sortent du cadre du litige et, partant, sont irrecevables. La recourante motive ses conclusions par le fait que les deux aspects (suppression du RI et montant à rembourser) seraient indissociables. Au vu de son obligation de remboursement, elle n'aurait potentiellement pas de capacité financière et devrait pouvoir continuer à bénéficier du RI. La recourante ne peut être suivie sur ce point. En effet, elle ne conteste pas qu'elle a fait l'objet d'un héritage et qu'elle était, au moment de la reddition de la décision, en possession d'un montant (fr. 235'335.23 au 30 septembre 2021) largement supérieur à la limite des fr. 4'000.- de fortune prévus à l'art. 18 al. 1 RLAVS. Même en tenant compte de la décision de remboursement rendue peu après, il restait encore environ fr. 40'000.- de fortune résiduelle à la recourante. A ce jour, la décision du CSR du 26 octobre 2021 fait l'objet d'un recours auprès de la DGCS et n'est donc pas définitive. La recourante n'a rien restitué à l'Etat et est toujours en possession des avoirs qu'elle a reçus en héritage. Elle n'est donc manifestement pas indigente et peut pourvoir à son entretien grâce au montant de sa fortune. En application de l'art. 31 al. 2 RLASV, qui prévoit que la prestation est supprimée dès que l'une des conditions dont elle dépend n'est plus remplie, le CSR a donc correctement considéré que la recourante n'avait plus droit au RI avec effet au 1 er octobre 2021. Dans l'attente de la décision de la DGCS et à défaut d'autre source de revenu, il se pourrait que la recourante se trouve dans l'obligation de puiser dans sa fortune de telle façon qu'elle se retrouve finalement avec un montant à disposition inférieur à celui que le CSR lui réclame dans sa décision du 26 octobre 2021. Cet aspect concerne toutefois directement les conditions du remboursement des prestations du RI, dont la DGCS devra tenir compte dans sa décision à intervenir. Il ne concerne pas la décision attaquée. A ce sujet, on relèvera encore à toutes fins utiles, qu'il n'est pas possible, d’une part, de demander la restitution de prestations déjà octroyées et, d’autre part, de refuser des prestations pour l’avenir en tenant compte exactement des mêmes éléments de fortune. En d'autres termes, si la recourante doit utiliser une part de fortune pour financer ses besoins avant de pouvoir à nouveau bénéficier du RI, l’autorité ne peut pas demander de lui verser cette même part de fortune pour compenser des prestations octroyées pour des périodes antérieures (voir arrêt CDAP PS.2016.0003 du 23 juin 2016 consid. 4d).</w:t>
      </w:r>
    </w:p>
    <w:p>
      <w:r>
        <w:rPr>
          <w:b/>
        </w:rPr>
        <w:t>E. 7</w:t>
      </w:r>
    </w:p>
    <w:p>
      <w:r>
        <w:t>Au vu de ce qui précède, le recours doit être rejeté dans la mesure de sa recevabilité et la décision de la DGCS du 9 décembre 2021 confirmant la suppression de la prestation financière RI confirmée. La procédure dans les affaires de prestations sociales (PS) est gratuite, de sorte qu'il ne sera pas perçu d'émolument (art. 4 al. 3 du tarif du 28 avril 2015 des frais judiciaires et des dépens en matière administrative [TFJDA; BLV 173.36.5.1]). La recourante succombant, il n'y a pas lieu à l'allocation de dépens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