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PS.2021.0078 vom 26. November 2021</w:t>
      </w:r>
    </w:p>
    <w:p>
      <w:r>
        <w:t>VD Tribunal cantonal, 2021-11-26, FR</w:t>
      </w:r>
    </w:p>
    <w:p>
      <w:r>
        <w:rPr>
          <w:b/>
        </w:rPr>
        <w:t xml:space="preserve">Quelle: </w:t>
      </w:r>
      <w:r>
        <w:t>https://mcp.opencaselaw.ch/entscheid/vd_omni_PS.2021.0078</w:t>
      </w:r>
    </w:p>
    <w:p>
      <w:r>
        <w:t>FR: VD_OMNI PS.2021.0078 du 26 novembre 2021</w:t>
      </w:r>
    </w:p>
    <w:p>
      <w:r>
        <w:t>IT: VD_OMNI PS.2021.0078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(8C_30/2022 du 9 mars 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24 février 2021, le CSR Riviera a rendu la décision de calcul du droit au RI pour le mois de janvier 2021 (prestations pour vivre en février 2021). Les données suivantes ont été retenues: " Forfait: 1'110 fr. Forfait frais particuliers: 50 fr. Loyer: 1'850 fr. Revenus à déduire (rente AVS et prestations complémentaires): 2'960 fr. Droit RI: 50 fr. " Le 13 avril 2021, A._______ a recouru contre cette décision. La DGCS a rejeté ce recours, dans la mesure où il était recevable, par une décision rendue le 23 septembre 2021 (cause RI.2021.099). Elle a partant confirmé la décision du CSR du 24 février 2021. La DGCS a par ailleurs rejeté la demande d'assistance judiciaire présentée par la recourante.</w:t>
      </w:r>
    </w:p>
    <w:p>
      <w:r>
        <w:rPr>
          <w:b/>
        </w:rPr>
        <w:t>E. 4</w:t>
      </w:r>
    </w:p>
    <w:p>
      <w:r>
        <w:t>Le 1 er novembre 2021, A._______, désormais représentée par une avocate, a adressé à la CDAP un recours de droit administratif contre la décision de la DGCS. Elle prend les conclusions suivantes: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23 septembre 2021 de la Direction générale de la cohésion sociale (DGCS) dans la cause RI.2021.099 relative au recours interjeté par Madame A._______ contre la décision du Centre social régional de la Riviera du 24 février 2021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Subsidiairement, I.            Le recours est admis. II.           La décision du 23 septembre 2021 de la Direction générale de la cohésion sociale (DGCS) dans la cause RI.2021.099 relative au recours interjeté par Madame A._______ contre la décision du Centre social régional de la Riviera du 24 février 2021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Madame A._______ l'intégralité de ses frais d'aide personnelle et de tenue du ménage depuis 2010 et jusqu'à ce jour; e.           La décision du Centre social régional de la Riviera du 24 février 2021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Plus subsidiairement, III.           Le recours est admis. IV.          La décision du 23 septembre 2021 de la Direction générale de la cohésion sociale (DGCS) dans la cause RI.2021.099 relative au recours interjeté par Madame A._______ contre la décision du Centre social régional de la Riviera du 24 février 2021 est annulée et renvoyée à l'Autorité précédente pour nouvelle décision dans le sens des considérants.</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de janvier 2021. Or le litige ne porte en définitive que sur le droit au RI pour le mois de janvier 2021.</w:t>
      </w:r>
    </w:p>
    <w:p>
      <w:r>
        <w:rPr>
          <w:b/>
        </w:rPr>
        <w:t>E. 7</w:t>
      </w:r>
    </w:p>
    <w:p>
      <w:r>
        <w:t>A propos des griefs concernant le droit au RI pour le mois de janvier 2021,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janvier 2021, pour les dépenses ordinaires durant le mois de février).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pour des dépenses de santé, auraient été facturés à la recourante par des prestataires de soins au mois de janvier 2021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janvier 2021,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w:t>
      </w:r>
    </w:p>
    <w:p>
      <w:r>
        <w:rPr>
          <w:b/>
        </w:rPr>
        <w:t>E. 8</w:t>
      </w:r>
    </w:p>
    <w:p>
      <w:r>
        <w:t>Il convient par ailleurs de relever, en relation avec les conclusions principales II/f et subsidiaires II/g, que la décision attaquée contient des explications au sujet de la notification, à l'adresse d'un précédent avocat de la recourante, d'une ancienne décision sur recours rendue en 2018 par la DGCS (p. 5 ch. 5 et 6). Cette question n'est cependant pas décisive, vu l'objet du présent litige. La recourante ne prétend du reste pas qu'elle n'aurait pas reçu la prestation financière fixée pour le mois visé par cette décision. Au demeurant, les règles de la bonne foi (art. 5 al. 3 de la Constitution fédérale [Cst.; RS 101]) imposaient à la recourante d'agir plus tôt et de ne pas attendre plusieurs années, si elle entendait former un recours de droit administratif contre cette décision qu'elle attendait.</w:t>
      </w:r>
    </w:p>
    <w:p>
      <w:r>
        <w:rPr>
          <w:b/>
        </w:rPr>
        <w:t>E. 9</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certains questionnaires mensuels remis au CSR, ces frais étant liés aux procédures de recours [cf. notamment acte de recours, p. 14]).</w:t>
      </w:r>
    </w:p>
    <w:p>
      <w:r>
        <w:rPr>
          <w:b/>
        </w:rPr>
        <w:t>E. 10</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11</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 n'est évidemment pas un motif de récusation " (cette affirmation correspond à la jurisprudence; cf. notamment Benoît Bovay et al., Procédure administrative vaudoise, 2 e éd., Lausanne 2021, n. 4.4 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