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PS.2021.0073 vom 13. April 2022</w:t>
      </w:r>
    </w:p>
    <w:p>
      <w:r>
        <w:t>VD Tribunal cantonal, 2022-04-13, FR</w:t>
      </w:r>
    </w:p>
    <w:p>
      <w:r>
        <w:rPr>
          <w:b/>
        </w:rPr>
        <w:t xml:space="preserve">Quelle: </w:t>
      </w:r>
      <w:r>
        <w:t>https://mcp.opencaselaw.ch/entscheid/vd_omni_PS.2021.0073</w:t>
      </w:r>
    </w:p>
    <w:p>
      <w:r>
        <w:t>FR: VD_OMNI PS.2021.0073 du 13 avril 2022</w:t>
      </w:r>
    </w:p>
    <w:p>
      <w:r>
        <w:t>IT: VD_OMNI PS.2021.0073 del 13 aprile 2022</w:t>
      </w:r>
    </w:p>
    <w:p>
      <w:pPr>
        <w:pStyle w:val="Heading2"/>
      </w:pPr>
      <w:r>
        <w:t>Regeste</w:t>
      </w:r>
    </w:p>
    <w:p>
      <w:r>
        <w:t>A.________/Direction générale de la cohésion sociale (DGCS), Centre social régional de Lausanne Service social Lausanne | Recours contre une décision sur recours de la DGCS confirmant une décision du CSR requérant de la recourante de remboursement d'une somme de 121'128 fr. 75 à titre d'aides perçues indûment. La décision querellée retient qu'à la période concernée, soit de 2012 à 2017, la recourante vivait en concubinage qualifié. Contrairement à ce que soutient la recourante, sa relation sentimentale avec un tiers est suffisamment établie (consid. 2 b/aa). Toutefois, les éléments sur lesquels se fonde la DGCS pour retenir un concubinage sont pour l'essentiels antérieurs à la période litigieuse, les autres n'étant pas à eux seuls de nature à l'établir. En outre, l'autorité intimée n'a pas examiné l'impact éventuel des difficultés de santé de la recourante sur sa situation personnelle (consid. 2 b/bb). Recours admis et cause renvoyé à l'autorité intimée pour complément d'instruction.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Le litige porte sur la question de savoir si l’autorité intimée était fondée à ordonner la restitution des prestations versées à la recourante du 1 er mai 2012 au 31 décembre 2017, par 127'128 fr. 75. a) aa)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le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L'art. 17a du règlement du 26 octobre 2005 d’application de la LASV (RLASV; BLV 850.051.1) précise que sont présumées comme menant de fait une vie de couple au sens de l'art. 31 al. 2 LASV les personnes qui ont un ou plusieurs enfants communs avec la personne avec qui elles vivent (let. a) ou qui vivent ensemble dans le même ménage depuis au moins cinq ans (let. b). bb)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(arrêts CDAP PS.2020.0090 du 14 mai 2021 consid. 3b/bb; PS.2019.0015 du 23 avril 2020 consid. 3b; PS.2018.0028 du 13 février 2019 consid. 1c/bb). De jurisprudence constante, le Tribunal fédéral considère que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(ATF 138 V 86 consid. 4.1; 137 V 383 consid. 4.1; 134 V 369 consid. 7 et 7.1). Il n'est alors pas arbitraire de tenir compte d'une telle communauté dans l'évaluation des besoins d'assistance, quand bien même il n'existe pas un devoir légal et réciproque d'entretien entre les partenaires. Dans cette optique, il est admissible de tenir compte du fait que ces derniers sont prêts à s'assurer mutuellement assistance.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cc) S'agissant de l'établissement des faits, lorsque les preuves font défaut, ou si l'on ne peut raisonnablement exiger de l'autorité qu'elle les recueille, la règle de l'art. 8 du Code civil suisse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(arrêts CDAP PS.2020.0090 du 14 mai 2021 consid. 3b/cc; PS.2019.0015 du 23 avril 2020 consid. 3c; PS.2018.0085 du 11 avril 2019 consid. 2f; PS.2018.0028 du 13 février 2019 consid. 2).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139 V 176 consid. 5.3; arrêts CDAP PS.2020.0090 du 14 mai 2021 consid. 3b/cc; PS.2019.0008 du 17 janvier 2020 consid. 3b). b) aa) Dans son recours, la recourante conteste toute relation de couple avec B.________. Elle se prévaut à cette fin de l'attestation rédigée par D.________ le 20 octobre 2021 par laquelle celle-ci indique avoir une relation sentimentale avec B.________. Au-delà de ce document, il convient de constater que les propos de la recourante dans son recours ne correspondent manifestement ni à ses précédentes déclarations ni aux autres éléments du dossier. En effet, lors de son audition devant le Ministère public de Lausanne le 22 août 2017, elle indiquait qu'B.________ était son ami intime. Surtout, dans le cadre de la procédure en lien avec la décision du CSR du 14 mai 2018, son conseil écrivait, dans un courrier du 11 décembre 2017, qu'elle formait une union avec la personne prénommée. Dans son recours du 14 juin 2018 contre la décision précitée, elle tenait des propos qui ne laissaient pas de doute quant à la nature de sa relation avec la personne prénommée. En effet, elle évoquait alors le couple qu'elle formait avec lui malgré le fait qu'elle contestait le concubinage allégué par le CSR. La teneur de l'écriture du 14 juin 2018 ne laisse donc aucun doute sur le fait que la recourante estimait alors former un couple avec B.________. Une telle relation n'a d'ailleurs jamais été contestée par ce dernier. Certes, il n'a pas été entendu sur ce point par le CSR ou l'autorité intimée. Toutefois, il a spontanément délivré une attestation le 10 janvier 2018, soit postérieurement à la décision du CSR, document dans lequel il conteste être en concubinage avec la recourante sans aucunement invalider la position de l'autorité quant à la relation sentimentale existant entre eux. Il lui était pourtant loisible de le faire, si leur lien ne relevait que de l'amitié. L'attestation fournie par D.________ ne saurait amener un autre éclairage. En effet, si celle-ci évoque une relation sentimentale avec B.________, elle ne précise pas depuis quand et de quelle nature. En outre ce document, postérieur à la décision querellée, paraît avoir été rédigé de manière opportuniste. On peut en effet s'interroger sur la raison pour laquelle cette relation n'a jamais été mentionnée précédemment – par exemple dans l'attestation d'B.________ ou encore dans les multiples écritures du précédent conseil de la recourante. Au vu de ce qui précède, il est donc suffisamment établi que la recourante et B.________ sont, ou au moins étaient durant la période litigieuse soit de 2012 à 2017, liés par une relation sentimentale allant au-delà d'une simple amitié. Cela n'implique cependant pas automatiquement que les conditions d'un concubinage qualifié seraient réalisées. bb) La DGCS retient l'existence d'un concubinage qualifié en se fondant en particulier sur des éléments ressortant du rapport d'enquête du 23 avril 2012, soit le fait que le couple vivrait 200 jours par année dans l'un ou l'autre des logements ou les réexpéditions de courrier au domicile d'B.________, des vacances communes ou des déclarations portant sur des années antérieures à 2012 (avances reçues). La DGCS n'a toutefois pas procédé à une actualisation de ces informations. La lecture du dossier ne permet pas de déterminer si, pour la période litigieuse, soit entre 2012 et 2017, la recourante et B.________ partageaient régulièrement le même logement, ou encore s'ils ont passé des vacances ensemble. De même, il n'apparaît pas que des investigations ont été menées pour déterminer si le courrier de la recourante avait à nouveau été régulièrement conservé en poste restante ou réexpédié au domicile d'B.________. A défaut d'actualisation de ces éléments, il paraît périlleux de les utiliser à l'appui d'un concubinage existant à la période précitée. Les indices supplémentaires évoqués par l'autorité intimée, et postérieurs à 2012, ne sont pas de nature – à eux seuls – à emporter la conviction quant à l'existence du concubinage qualifié. Il s'agit en effet de l'interprétation de mouvements bancaires entre les comptes polonais d'B.________ et de la recourante, respectivement de celui de sa mère. Or, si l'on peut considérer curieux qu'autant de démarches financières aient lieu entre des personnes qui n'entretiendraient pas une relation d'une grande proximité, cela est insuffisant à justifier d'un concubinage, de plus qualifié. En effet, même si les explications données par la recourante quant à ses transferts d'argent – en particulier l'acquisition de "miles" – ne sont pas particulièrement convaincantes au regard de la complexité des transferts et de leur nombre, cet élément est clairement insuffisant à fonder le concubinage retenu. Il convient également de relever que les déclarations de la recourante relatives aux avances effectuées par B.________ devant le Ministère public de l'arrondissement de Lausanne le 22 août 2017 portaient sur la période allant jusqu'en 2012 et ne permettent donc pas de retenir cet élément pour les années suivantes. Le fait que la recourante ait reçu en copie les décisions de taxation fiscale d'B.________ entre 2013 et 2016 interpelle également. Ce point n'a toutefois fait l'objet d'aucune instruction de la part de l'autorité intimée. La recourante allègue en outre que sa santé a des conséquences sur la réalisation d'un éventuel concubinage. Il est vrai que les éléments médicaux produits par la recourante nécessitent des investigations complémentaires. En effet, d'une part il peuvent laisser planer un doute sur sa capacité à nouer une relation formant une communauté de vie stable. D'autre part, il en ressort que la recourante a eu plusieurs relations sentimentales dans sa vie, dont un mariage, ce qui ne paraît pas exclure une telle communauté. L'impact éventuel des troubles psychologiques de la recourante sur sa possibilité de mener une vie de couple communautaire doit donc être éclairci. En définitive, la situation de la recourante entre 2012 et 2017 et l'existence alors d'un concubinage entre elle et B.________ ne peut être déterminée sur la base des éléments lacunaires figurant au dossier. L'instruction étant incomplète, il convient de renvoyer la cause à l'autorité intimée afin qu'elle procède aux investigations nécessaires permettant d'établir l'existence d'un concubinage – ou non – durant la période litigieuse. Notamment, mais non exclusivement, elle est invitée à requérir des indications postales et à entendre le couple, respectivement des tiers, pour établir ses modalités de vie. Elle examinera également les pièces médicales produites par la recourante en annexe à son recours et l'influence éventuelle de son état de santé sur la possibilité de mener une vie en concubinage.</w:t>
      </w:r>
    </w:p>
    <w:p>
      <w:r>
        <w:rPr>
          <w:b/>
        </w:rPr>
        <w:t>E. 3</w:t>
      </w:r>
    </w:p>
    <w:p>
      <w:r>
        <w:t>Au vu de ce qui précède, il n'y a pas lieu d'examiner les autres arguments soulevés par la recourante, en lien avec la capacité d'B.________ de l'entretenir. Il en va de même de la question du train de vie de la recourante et de l'utilisation des prélèvements effectués sur les comptes de sa mère. En effet, si cet élément est abordé dans le rapport d'enquête du 13 décembre 2017, il n'a pas fait l'objet d'investigations complémentaires et n'est pas mentionné à l'appui de la décision querellée. Le cas échéant il reviendra à l'autorité intimée de procéder aux mesures d'instruction supplémentaires nécessaires.</w:t>
      </w:r>
    </w:p>
    <w:p>
      <w:r>
        <w:rPr>
          <w:b/>
        </w:rPr>
        <w:t>E. 4</w:t>
      </w:r>
    </w:p>
    <w:p>
      <w:r>
        <w:t>Les considérants qui précèdent entraînent l'admission du recours, l'annulation de la décision attaquée et le renvoi de la cause à l'autorité intimée pour nouvelle instruction et nouvelle décision. L'arrêt doit être rendu sans frais (art. 4 al. 3 du tarif du 28 avril 2015 des frais et dépens en matière administrative [TFJDA; BLV 173.36.5.1]). La recourante, qui a procédé assistée d'un conseil, a droit à des dépens (art. 55 LPA-VD ainsi que 10 et 11 TJDA).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