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PS.2021.0020 vom 16. November 2021</w:t>
      </w:r>
    </w:p>
    <w:p>
      <w:r>
        <w:t>VD Tribunal cantonal, 2021-11-16, FR</w:t>
      </w:r>
    </w:p>
    <w:p>
      <w:r>
        <w:rPr>
          <w:b/>
        </w:rPr>
        <w:t xml:space="preserve">Quelle: </w:t>
      </w:r>
      <w:r>
        <w:t>https://mcp.opencaselaw.ch/entscheid/vd_omni_PS.2021.0020</w:t>
      </w:r>
    </w:p>
    <w:p>
      <w:r>
        <w:t>FR: VD_OMNI PS.2021.0020 du 16 novembre 2021</w:t>
      </w:r>
    </w:p>
    <w:p>
      <w:r>
        <w:t>IT: VD_OMNI PS.2021.0020 del 16 novembre 2021</w:t>
      </w:r>
    </w:p>
    <w:p>
      <w:pPr>
        <w:pStyle w:val="Heading2"/>
      </w:pPr>
      <w:r>
        <w:t>Regeste</w:t>
      </w:r>
    </w:p>
    <w:p>
      <w:r>
        <w:t>A.________/Bureau de recouvrement et d'avances de pensions alimentaires | Calcul du montant de l'avance sur pensions alimentaires. Il est correct d'ajouter la mère d'un enfant majeur économiquement dépendant vivant en ménage commun avec lui à l'unité économique de référence dont le revenu est déterminant pour calculer le droit de cet enfant à une avance (consid.2). Rejet du grief de la recourante qui déplore que son revenu déterminant soit calculé différemment selon le type d'aide auquel elle prétend (consid.3a). Le calcul du revenu déterminant figurant dans la décision attaquée est exact, à l'exception de la cotisation au 3e pilier qui n’a pas été ajoutée au revenu net. À cet égard, la Cour renonce à examiner la question d’une éventuelle reformatio in pejus. Pour ce qui concerne le calcul de la fortune, la loi ne prévoit pas que la franchise de 56'000 fr. doit être doublée pour un ménage composé d'un parent et d'un enfant (consid.3b). Rejet du recours. Par arrêt du 16 novembre 2021 (dans la cause 8C_509/2021), le TF a déclaré le recours irrecevable.</w:t>
      </w:r>
    </w:p>
    <w:p>
      <w:pPr>
        <w:pStyle w:val="Heading2"/>
      </w:pPr>
      <w:r>
        <w:t>Erwägungen</w:t>
      </w:r>
    </w:p>
    <w:p>
      <w:r>
        <w:rPr>
          <w:b/>
        </w:rPr>
        <w:t>E. 1</w:t>
      </w:r>
    </w:p>
    <w:p>
      <w:r>
        <w:t>Déposé en temps utile, le recours satisfait par ailleurs aux autres conditions formelles de recevabilité (cf. art. 79 al. 1, 95 et 99 de la loi vaudoise du 28 octobre 2008 sur la procédure administrative [ LPA-VD; BLV 173.36 ] , applicable par renvoi de l'art. 19 de la loi vaudoise du 10 février 2004 sur le recouvrement et les avances sur pensions alimentaires [ LRAPA; BLV 850.36 ] ), de sorte qu'il y a lieu d'entrer en matière sur le fond. L'autorité intimée relève que, formellement, c'est C.________ qui est titulaire des droits et qui aurait dû déposer un recours contre sa décision. Toutefois elle souligne aussi que, depuis l'ouverture du dossier, C.________ est représentée dans ses relations avec le BRAPA par sa mère, la recourante. Au surplus le Tribunal relève que c'est à la mère qu'est adressée la décision attaquée. En outre, dès lors qu'elle fait ménage commun avec sa fille et qu'elle l’entretient partiellement, elle a aussi un intérêt personnel à contester le montant de l'avance allouée pour ledit entretien.</w:t>
      </w:r>
    </w:p>
    <w:p>
      <w:r>
        <w:rPr>
          <w:b/>
        </w:rPr>
        <w:t>E. 2</w:t>
      </w:r>
    </w:p>
    <w:p>
      <w:r>
        <w:t>a) L'ayant droit à des pensions alimentaires enfant ou adulte, domicilié dans le canton de Vaud, qui ne reçoit pas ou qui reçoit irrégulièrement la prestation qui lui est due, peut demander au BRAPA une aide appropriée (cf. art. 5 LRAPA). En particulier, l’Etat peut accorder au créancier d'aliments, enfant ou adulte, qui se trouve dans une situation économique difficile, des avances totales ou partielles sur les pensions courantes (art. 9 al. 1 LRAPA). La situation économique difficile au sens de l'art. 9 al. 1 LRAPA est appréciée notamment en fonction du revenu du créancier d'aliments. Le revenu déterminant pour cette appréciation est calculé selon les règles de la loi du 9 novembre 2010 sur l'harmonisation et la coordination de l'octroi des prestations sociales et d'aide à la formation et au logement cantonales vaudoises (LHPS; BLV 850.03), comme cela est expressément prescrit à l'art. 9a LRAPA. Le règlement d'application du 30 novembre 2005 de la LRAPA (RLRAPA; BLV 850.36.1) fixe les limites de fortune et de revenus en deçà desquelles les avances sont octroyées. L'art. 4 RLRAPA énonce que des avances mensuelles totales ou partielles sont accordées selon un barème de revenus déterminants nets annuels de l'unité économique de référence (UER) compris entre 29'000 fr. et 52'000 fr. progressifs par tranches de 500 fr. Les créanciers dont le revenu est inférieur à 29'000 fr. perçoivent des avances totales. Les créanciers dont le revenu est égal ou supérieur à 52’000 fr. n’ont pas droit à des avances (cf. également le tableau figurant à l'art. 7 RLRAPA). b) aa) Dans sa dernière écriture, la recourante semble soutenir qu'elle n'aurait pas dû être intégrée dans l'UER de sa fille. bb) Conformément à l'art. 9a LRAPA et 5a RLRAPA, la LHPS est applicable non seulement en ce qui concerne le calcul du revenu déterminant, mais aussi pour définir la composition de l'UER et la hiérarchisation des prestations sociales. L'art. 10 LHPS précise ce qui suit en ce qui concerne l'UER: " 1 L'unité économique de référence comprend: a. la personne titulaire du droit; b. le conjoint; c. le partenaire enregistré au sens des lois fédérale et cantonale sur le partenariat enregistré; d. le partenaire vivant en ménage commun avec la personne titulaire du droit; e. les enfants majeurs économiquement dépendants, en lien de filiation avec la personne titulaire du droit, son conjoint, son partenaire enregistré ou la personne avec qui elle vit en ménage commun". La législation spéciale peut prévoir des exceptions à l'étendue de l'UER de l'al. 1 (art. 10 al. 2 LHPS). Concernant l'attribution des enfants majeurs à l'UER d'un parent séparé ou divorcé, l'art. 9 al. 1 du règlement d'application de la LHPS du 30 mai 2012 ( RLHPS; BLV 850.03.1) prévoit: "1 L'enfant majeur économiquement dépendant est attribué à l'unité économique du parent auprès duquel il vit de manière prépondérante. Il est présumé que l'enfant vit de manière prépondérante auprès du parent chez lequel il est domicilié selon le Registre cantonal des personnes. Si cette présomption ne mène pas à une solution satisfaisante, l'autorité d'application attribue l'enfant à l'unité économique de l'autre parent". Dans un arrêt du 11 février 2019 (PS.2018.0012, consid. 3), le Tribunal a admis que ni l'art. 10 al. 1 LHPS ni la législation spéciale ne précisaient que les parents et les beaux-parents du titulaire d'un droit devaient être intégrés dans l'UER. Il a néanmoins rappelé que les avances sur pensions alimentaires constituent une forme particulière d’aide sociale, pour lesquelles les règles générales de l'aide sociale sont applicables. En matière d'aide sociale,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(cf. art. 3 al. 1 de la loi sur l’action sociale vaudoise du 2 décembre 2003 [LASV; BLV 850.051]; arrêt PS.2017.0091 du 6 décembre 2017). Ainsi, l'aide de l'Etat ne saurait se substituer aux devoirs familiaux. Sur cette base, le Tribunal a considéré qu'il était conforme à la LRAPA d'ajouter la mère d'un enfant majeur économiquement dépendant vivant en ménage commun avec lui à l'UER dont le revenu était déterminant pour calculer le droit de cet enfant à une avance sur pensions alimentaires. cc) C'est dès lors à juste titre que la recourante a été ajouté à l'UER dont le revenu est déterminant pour calculer le droit de sa fille à une avance sur pensions alimentaires. c) aa) Selon l'art. 6 LHPS, le revenu déterminant unifié sert de base pour le calcul du droit à une prestation (al. 1). Il est constitué comme suit (al. 2, dans la version en vigueur depuis le 1 er janvier 2021): "a. du revenu net au sens de la loi sur les impôts directs cantonaux (ci-après: LI), majoré des montants affectés aux formes reconnues de prévoyance individuelle liée (3e pilier A), des montants déduits fiscalement pour frais d'entretien d'immeubles et investissements destinés à économiser l'énergie et à ménager l'environnement, des pertes commerciales de l'activité indépendante, des pertes commerciales non compensées, des pertes sur participations commerciales qualifiées, ainsi que des montants affectés aux versements, cotisations et primes d'assurance-maladie ayant fait l'objet d'une déduction fiscale, puis diminué d'un forfait fixe pour frais d'entretien d'immeubles et investissements destinés à économiser l'énergie et à ménager l'environnement et d'un forfait fixe pour frais de maladie. L'alinéa 6 demeure réservé; b. d'un quinzième du montant composé de la fortune nette au sens de la LI, majorée de l'ensemble des dettes privées et d'exploitation, y compris celles garanties par gage immobilier. Les articles 7 et 7a demeurent réservés". Pour ce qui concerne la fortune, l’art.</w:t>
      </w:r>
    </w:p>
    <w:p>
      <w:r>
        <w:rPr>
          <w:b/>
        </w:rPr>
        <w:t>E. 4</w:t>
      </w:r>
    </w:p>
    <w:p>
      <w:r>
        <w:t>Il découle des considérants qui précèdent que le recours, mal fondé, doit être rejeté et la décision attaquée confirmée. L'arrêt est rendu sans frais (art. 46 al. 3 LPA-VD; art. 4 al. 3 du tarif du 28 avril 2015 des frais judiciaires et des dépens en matière administrative [TFJAP; BLV 173.36.5.1]). L’allocation de dépens n’entre pas en considération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