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PS.2021.0004 vom 25. November 2021</w:t>
      </w:r>
    </w:p>
    <w:p>
      <w:r>
        <w:t>VD Tribunal cantonal, 2021-11-25, FR</w:t>
      </w:r>
    </w:p>
    <w:p>
      <w:r>
        <w:rPr>
          <w:b/>
        </w:rPr>
        <w:t xml:space="preserve">Quelle: </w:t>
      </w:r>
      <w:r>
        <w:t>https://mcp.opencaselaw.ch/entscheid/vd_omni_PS.2021.0004</w:t>
      </w:r>
    </w:p>
    <w:p>
      <w:r>
        <w:t>FR: VD_OMNI PS.2021.0004 du 25 novembre 2021</w:t>
      </w:r>
    </w:p>
    <w:p>
      <w:r>
        <w:t>IT: VD_OMNI PS.2021.0004 del 25 novembre 2021</w:t>
      </w:r>
    </w:p>
    <w:p>
      <w:pPr>
        <w:pStyle w:val="Heading2"/>
      </w:pPr>
      <w:r>
        <w:t>Regeste</w:t>
      </w:r>
    </w:p>
    <w:p>
      <w:r>
        <w:t>A.________ /Bureau de recouvrement et d'avances de pensions alimentaires, Centre social régional de Lausanne Service social Lausanne | Lorsqu'une épouse héberge durant trois mois son conjoint, dont elle vit séparée depuis un an et demi, pour l'aider le temps que ce dernier retrouve un logement et un emploi, tous deux perdus en raison de la pandémie de Covid-19, il n'y a pas lieu de considérer, comme l'a fait à tort le BRAPA, qu'il y avait une reprise durable de la vie commune qui aurait rendu cadques les mesures protectrices de l'union conjugale régissant la vie séparée du couple. Partant, il n'était justifié ni de mettre un terme aux avances sur les contributions d'entretien dues pour la famille ni de réclamer le remboursement d'un montant versé à tort à ce titre. Recours admis.</w:t>
      </w:r>
    </w:p>
    <w:p>
      <w:pPr>
        <w:pStyle w:val="Heading2"/>
      </w:pPr>
      <w:r>
        <w:t>Erwägungen</w:t>
      </w:r>
    </w:p>
    <w:p>
      <w:r>
        <w:rPr>
          <w:b/>
        </w:rPr>
        <w:t>E. 1</w:t>
      </w:r>
    </w:p>
    <w:p>
      <w:r>
        <w:t>Déposé dans le délai de trente jours fixé à l’art. 95 de la loi sur la procédure administrative du 28 octobre 2008 (LPA-VD ; BLV 173.36), applicable par renvoi de l’art. 19 de la loi sur le recouvrement et les avances sur pensions alimentaires du 10 février 2004 (LRAPA ; BLV 850.36), le recours a été formé en temps utile. Il est de surcroît recevable en la forme, de sorte qu’il y a lieu d’entrer en matière sur le fond.</w:t>
      </w:r>
    </w:p>
    <w:p>
      <w:r>
        <w:rPr>
          <w:b/>
        </w:rPr>
        <w:t>E. 2</w:t>
      </w:r>
    </w:p>
    <w:p>
      <w:r>
        <w:t>a) Le droit d'être entendu découlant des art. 29 al. 2 de la Constitution fédérale de la Confédération suisse du 18 avril 1999 (Cst.; RS 101) et 27 al. 2 de la Constitution du Canton de Vaud du 14 avril 2003 (Cst-VD; BLV 101.01)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142 II 218 consid. 2.3; ATF 137 II 266 consid. 3.2 p. 270; 137 IV 33 consid. 9.2 p. 48/49; 136 I 265 consid. 3.2 p. 272, et les arrêts cités). Le caractère formel du droit d'être entendu a pour conséquence que sa violation entraîne en principe l'annulation de la décision attaquée, quel que soit son sort au fond (ATF 137 I 195 consid.</w:t>
      </w:r>
    </w:p>
    <w:p>
      <w:r>
        <w:rPr>
          <w:b/>
        </w:rPr>
        <w:t>E. 2.2</w:t>
      </w:r>
    </w:p>
    <w:p>
      <w:r>
        <w:t>p. 197; 136 V 117 consid. 4.2.2.2 p. 126/127; 135 I 279 consid. 2.6.1 p. 285,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GE.2019.0030 du 30 juillet 2019 et les références citées; AC.2013.0243 du 15 novembre 2013; AC.2011.0170 du 31 août 2011 consid. 2b; GE.2011.0136 précité; GE.2012.0124 du 15 novembre 2012). b) Dans le cas présent, il ne ressort pas du dossier produit par l'autorité intimée que celle-ci aurait interpellé la recourante entre le moment où elle a eu connaissance de l'inscription du mari de cette dernière à son adresse (10 décembre 2020) et la notification de la décision attaquée (du 18 décembre 2020). La recourante n'a ainsi pas été en mesure de s'expliquer sur les circonstances de cet état de fait. Comme il ressort du dossier du CSR, ses explications à cette autorité étaient par ailleurs de nature à mettre en doute une reprise de la vie commune et d'avoir une incidence sur la décision à prendre. Il faut ainsi constater qu'en ne donnant pas la possibilité à la recourante de se déterminer avant de statuer, l'autorité intimée a gravement violé le droit d'être entendu de cette dernière. La question de savoir si une telle violation est susceptible d'être réparée au stade de la procédure de recours peut cependant rester indécise vu le sort du recours.</w:t>
      </w:r>
    </w:p>
    <w:p>
      <w:r>
        <w:rPr>
          <w:b/>
        </w:rPr>
        <w:t>E. 3</w:t>
      </w:r>
    </w:p>
    <w:p>
      <w:r>
        <w:t>Sur le fond, la décision attaquée met un terme à l'intervention du BRAPA au 30 septembre 2020, sous réserve de la poursuite des démarches de recouvrement pour l'arriéré dû à l'Etat uniquement, et sollicite la restitution des avances reçues pendant les mois d'octobre à décembre 2020, soit 6'060 francs. Cette décision est motivée par le fait que, vu la reprise de la vie commune des époux, les mesures protectrices de l'union conjugale sur lesquelles se fondent le devoir de contribution de B.________ seraient devenues caduques. a) En vertu de l’art. 9 al. 1 LRAPA, l’Etat peut accorder au créancier d’aliments, enfant ou adulte, qui se trouve dans une situation économique difficile, des avances totales ou partielles sur les pensions courantes.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Le règlement d’application de la LRAPA du 30 novembre 2005 (RLRAPA; BLV 850.36.1) précise les modalités selon lesquelles les avances sont calculées, en fonction de la situation personnelle et familiale du bénéficiaire (art. 4 et 7 RLRAPA). Selon l’art. 12, 2 e phrase LRAPA, la personne qui sollicite une aide doit signaler sans retard tout changement à sa situation pouvant entraîner la réduction ou la suppression des prestations. L’art. 13 al. 1 LRAPA prévoit que le service réclame par voie de décision, au bénéficiaire ou à sa succession, le remboursement des prestations perçues indûment. b) Il n'est pas contesté que la recourante n'a pas informé le BRAPA du fait qu'elle a hébergé son époux pendant une période de l'ordre de trois mois, conformément à son devoir de collaboration (art. 12 LRAPA). Elle a en revanche fourni des explications détaillées au CSR. Quoi qu'il en soit, la question à résoudre in casu est celle de savoir si l’autorité intimée était en droit de considérer que la recourante et son époux avaient repris la vie commune dès le mois d'octobre 2020 et si cela rendait les mesures protectrices de l’union conjugale caduques, en application de l’art. 179 al. 2 du Code civil suisse (CC; RS 210). Cette disposition prévoit en effet que lorsque les époux reprennent la vie commune, les mesures ordonnées en vue de la vie séparée sont caduques, à l’exception de la séparation de biens et des mesures de protection de l’enfant. Même sans autorisation du juge, des époux séparés peuvent reprendre la vie commune. Comme les dispositions ordonnées par le juge perdent alors leur sens, la loi prévoit que, sauf exceptions, toutes les mesures prises en vue de la vie séparée sont caduques de plein droit. Pour déclencher les conséquences de l’art. 179 al. 2 CC, la reprise de la vie commune doit être véritable et durable: une simple tentative de reprise de la vie commune ou une cohabitation provisoire liée à des circonstances économiques ne suffisent pas. La caducité vise en particulier les contributions d’entretien : le jugement de mesures protectrices ne vaut ainsi plus titre de mainlevée d’opposition définitive (art. 80 LP) pour les contributions échues après la reprise de la vie commune (Commentaire romand, Code civil I, François Chaix, art. 179 N. 7, Bâle 2010). Ni la LRAPA ni son règlement d'application du 30 novembre 2005 (RLRAPA; BLV 850.36.1) ne définissent les conditions auxquelles l'autorité peut mettre fin à l'aide au recouvrement. On doit admettre que l'autorité peut mettre fin à son intervention lorsque l'obligation d'entretien est éteinte ou supprimée par une convention ou un jugement entré en force (dans ce sens PS.2019.0054 du 18 novembre 2019). Cela étant, dans un tel cas, l'autorité administrative se prononce préjudiciellement sur une question relevant en principe de la compétence du juge civil. Elle ne peut donc mettre fin à son intervention pour ce motif que lorsque la situation sur le plan du droit civil est claire et ne prête pas ou plus à la discussion (PS.2021.0040 du 9 novembre 2021 consid. 3c). c) Dans le cas présent, il est établi que la recourante a accueilli son époux chez elle, les mercredis et un week-end sur deux entre les mois d'octobre et décembre 2020. Il ressort en outre des déclarations concordantes de la recourante et de son mari que cet hébergement n'était que momentané et que cette situation était due à des circonstances tout à fait particulières, à savoir les difficultés rencontrées par l'époux de la recourante, suite à la perte de son emploi et de son logement, durant la période délicate de la pandémie de Covid-19. Aucun des deux époux n'a manifesté une quelconque intention de reprendre durablement la vie commune. Un tel hébergement partiel et pour une durée relativement brève ne saurait être considéré comme une reprise durable, par la recourante et son époux, de la vie commune. C’est partant manifestement à tort que l’autorité intimée a considéré que les mesures protectrices de l’union conjugale étaient devenues caduques et qu’elle n’était plus tenue d’avancer les contributions d'entretien dues par B.________ à sa famille. C'est également à tort qu'elle exigé le remboursement des prestations versées à la recourante pendant la période d'octobre à décembre 2020. La décision attaquée doit en conséquence être annulée et le dossier renvoyé à l'autorité intimée pour reprendre les versements dus dès le mois d'octobre 2020.</w:t>
      </w:r>
    </w:p>
    <w:p>
      <w:r>
        <w:rPr>
          <w:b/>
        </w:rPr>
        <w:t>E. 4</w:t>
      </w:r>
    </w:p>
    <w:p>
      <w:r>
        <w:t>Au vu des considérants qui précèdent, le recours doit être admis et la décision attaquée annulée, le dossier étant renvoyé à l'autorité intimée pour nouvelle décision au sens des considérants. Il n'est pas perçu de frais ni alloué de dépens, la recourante n'ayant pas procédé avec l'assistance d'un avocat (art. 4 al. 3 du tarif du 28 avril 2015 des frais judiciaires et des dépens en matière administrative [TFJDA, RSV 173.36.5.1];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