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PS.2021.0002 vom 3. Juni 2021</w:t>
      </w:r>
    </w:p>
    <w:p>
      <w:r>
        <w:t>VD Tribunal cantonal, 2021-06-03, FR</w:t>
      </w:r>
    </w:p>
    <w:p>
      <w:r>
        <w:rPr>
          <w:b/>
        </w:rPr>
        <w:t xml:space="preserve">Quelle: </w:t>
      </w:r>
      <w:r>
        <w:t>https://mcp.opencaselaw.ch/entscheid/vd_omni_PS.2021.0002</w:t>
      </w:r>
    </w:p>
    <w:p>
      <w:r>
        <w:t>FR: VD_OMNI PS.2021.0002 du 3 juin 2021</w:t>
      </w:r>
    </w:p>
    <w:p>
      <w:r>
        <w:t>IT: VD_OMNI PS.2021.0002 del 3 giugno 2021</w:t>
      </w:r>
    </w:p>
    <w:p>
      <w:pPr>
        <w:pStyle w:val="Heading2"/>
      </w:pPr>
      <w:r>
        <w:t>Regeste</w:t>
      </w:r>
    </w:p>
    <w:p>
      <w:r>
        <w:t>A.________/Service de l'emploi Instance juridique chômage, Office régional de placement de Lausanne | Confirmation de la décision du Service de l'emploi réduisant le revenu d'insertion d'un bénéficiaire ayant refusé de se présenter à une formation d'un mois en bureautique. Le recourant a prétexté à cet égard qu'il disposerait déjà des connaissances nécessaires, mais il a même refusé de se présenter au test préliminaire, qui visait précisément à évaluer ses connaissances et la nécessité de la formation en cause. Le recourant a ainsi compromis d'emblée ses chances de réintégration professionnelle dans le cadre d'un projet réaliste. Sur le principe, la sanction est justifiée. La quotité de la réduction (15%) et sa durée (quatre mois) sont proportionnées au vu du comportement et des antécédents du recourant.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l'art. 95 de la loi vaudoise du 28 octobre 2008 sur la procédure administrative (LPA-VD; BLV 173.36), le recours est intervenu en temps utile. Il respecte au surplus les conditions formelles énoncées notamment à l'art. 79 LPA-VD (applicable par renvoi de l'art. 99 LPA-VD), si bien qu'il y a lieu d'entrer en matière sur le fond.</w:t>
      </w:r>
    </w:p>
    <w:p>
      <w:r>
        <w:rPr>
          <w:b/>
        </w:rPr>
        <w:t>E. 2</w:t>
      </w:r>
    </w:p>
    <w:p>
      <w:r>
        <w:t>Le litige porte sur la réduction du forfait mensuel d'entretien RI infligée au recourant pour avoir fait défaut à un cours de bureautique assigné par l'ORP.</w:t>
      </w:r>
    </w:p>
    <w:p>
      <w:r>
        <w:rPr>
          <w:b/>
        </w:rPr>
        <w:t>E. 3</w:t>
      </w:r>
    </w:p>
    <w:p>
      <w:r>
        <w:t>Le montant et la durée de la réduction, fixés en fonction du type, de la gravité et de la répétition du manquement, sont de 15% ou de 25% du forfait, pour une durée de 2 à 12 mois. La réduction du forfait ne touche pas la part affectée aux enfants à charge.</w:t>
      </w:r>
    </w:p>
    <w:p>
      <w:r>
        <w:rPr>
          <w:b/>
        </w:rPr>
        <w:t>E. 4</w:t>
      </w:r>
    </w:p>
    <w:p>
      <w:r>
        <w:t>Il découle des considérants qui précèdent que le recours, mal fondé, doit être rejeté et la décision attaquée confirmée. Il n'y a pas lieu de prélever un émolument de justice (cf. art. 4 al. 3 du tarif vaudois du 28 avril 2015 des frais judiciaires et des dépens en matière administrative [TFJDA; BLV 173.36.5.1]), ni d'allouer de dépens (cf. art. 55 al. 1, a contrario,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