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PS.2020.0098 vom 25. November 2021</w:t>
      </w:r>
    </w:p>
    <w:p>
      <w:r>
        <w:t>VD Tribunal cantonal, 2021-11-25, FR</w:t>
      </w:r>
    </w:p>
    <w:p>
      <w:r>
        <w:rPr>
          <w:b/>
        </w:rPr>
        <w:t xml:space="preserve">Quelle: </w:t>
      </w:r>
      <w:r>
        <w:t>https://mcp.opencaselaw.ch/entscheid/vd_omni_PS.2020.0098</w:t>
      </w:r>
    </w:p>
    <w:p>
      <w:r>
        <w:t>FR: VD_OMNI PS.2020.0098 du 25 novembre 2021</w:t>
      </w:r>
    </w:p>
    <w:p>
      <w:r>
        <w:t>IT: VD_OMNI PS.2020.0098 del 25 novembre 2021</w:t>
      </w:r>
    </w:p>
    <w:p>
      <w:pPr>
        <w:pStyle w:val="Heading2"/>
      </w:pPr>
      <w:r>
        <w:t>Regeste</w:t>
      </w:r>
    </w:p>
    <w:p>
      <w:r>
        <w:t>A.________ /Bureau de recouvrement et d'avances de pensions alimentaires, Centre social régional JURA-NORD VAUDOIS | Lorsqu'un époux héberge brièvement son conjoint, dont il vit séparé depuis plus de deux ans, pour l'aider le temps que ce dernier retrouve en Suisse le logement et le travail qu'il avait perdus après s'être retrouvé bloqué à l'étranger en raison de la pandémie de Covid-19, puis dépose ensuite une action en divorce, il n'y a pas lieu de considérer, comme l'a fait à tort le BRAPA, qu'il y avait une reprise durable de la vie commune qui aurait rendu caduques les mesures protectrices de l'union conjugale régissant la vie séparée du couple. Partant, il n'était justifié ni de mettre un terme aux avances sur les pensions dues pour l'enfant ni de réclamer le remboursement d'un montant versé à tort à ce titre. Recours admis.</w:t>
      </w:r>
    </w:p>
    <w:p>
      <w:pPr>
        <w:pStyle w:val="Heading2"/>
      </w:pPr>
      <w:r>
        <w:t>Erwägungen</w:t>
      </w:r>
    </w:p>
    <w:p>
      <w:r>
        <w:rPr>
          <w:b/>
        </w:rPr>
        <w:t>E. 1</w:t>
      </w:r>
    </w:p>
    <w:p>
      <w:r>
        <w:t>Le recours a été adressé au “ Tribunal administratif ” suivant l’indication erronée figurant dans la décision attaquée. Or, cette autorité judiciaire n’existe plus depuis 2008, ayant été remplacée par la Cour de droit administratif et public du Tribunal cantonal (cf. art. 92 de la loi du 28 octobre 2008 sur la procédure administrative: LPA-VD; BLV 173.36, applicable par renvoi de l’art. 19 de la loi du 10 février 2004 sur le recouvrement et les avances sur pensions alimentaires: LRAPA; BLV 850.36). L’autorité intimée est invitée à en prendre note. Au surplus, déposé dans le délai de trente jours fixé par l’art. 95 LPA-VD, le recours a été formé en temps utile. Il respecte par ailleurs les conditions formelles énoncées à l’art. 79 LPA-VD, applicable par renvoi de l’art. 99 LPA-VD, après avoir été signé dans le délai imparti, et son auteure a manifestement qualité pour recourir (art. 75 let. a LPA-VD), de sorte qu’il y a lieu d’entrer en matière sur le fond.</w:t>
      </w:r>
    </w:p>
    <w:p>
      <w:r>
        <w:rPr>
          <w:b/>
        </w:rPr>
        <w:t>E. 2</w:t>
      </w:r>
    </w:p>
    <w:p>
      <w:r>
        <w:t>La décision attaquée constate que les mesures protectrices de l’union conjugale du 20 août 2018 sont devenues caduques, du fait de la reprise de la vie commune des époux. Elle réclame à la recourante, après rectification du montant, le remboursement de 140 fr. pour l’avance perçue à tort pour la période du 10 au 30 octobre 2020, puisque celle-ci a omis de lui signaler la reprise de la vie commune. La recourante admet qu’elle a hébergé son époux durant quelques semaines. Elle soutient qu’il s’agissait de l’aider à retrouver un nouveau logement et du travail pour redémarrer sa vie en Suisse mais en aucun cas de reprendre la vie commune. a) En vertu de l’art. 9 al. 1 LRAPA, l’Etat peut accorder au créancier d’aliments, enfant ou adulte, qui se trouve dans une situation économique difficile, des avances totales ou partielles sur les pensions courantes. Par pensions alimentaires on entend les obligations pécuniaires d’entretien fondées sur le droit du divorce et de la filiation fixées dans des jugements civils définitifs et exécutoires, des ordonnances de mesures protectrices de l’union conjugale, des ordonnances de mesures provisoires et des conventions alimentaires ratifiées (art. 4 LRAPA). Le règlement d’application de la LRAPA du 30 novembre 2005 (RLRAPA; BLV 850.36.1)  précise les modalités selon lesquelles les avances sont calculées, en fonction de la situation personnelle et familiale du bénéficiaire (art. 4 et 7 RLRAPA). Selon l’art. 12, 2 e phrase LRAPA, la personne qui sollicite une aide doit signaler sans retard tout changement à sa situation pouvant entraîner la réduction ou la suppression des prestations. L’art. 13 al. 1 LRAPA prévoit que le service réclame par voie de décision, au bénéficiaire ou à sa succession, le remboursement des prestations perçues indûment. b) La question à résoudre in casu est celle de savoir si l’autorité intimée était en droit de considérer que la recourante et son époux avaient repris la vie commune et que cela rendait les mesures protectrices de l’union conjugale caduques, en application de l’art. 179 al. 2 du Code civil suisse (CC; RS 210). Cette disposition prévoit en effet que lorsque les époux reprennent la vie commune, les mesures ordonnées en vue de la vie séparée sont caduques, à l’exception de la séparation de biens et des mesures de protection de l’enfant. Même sans autorisation du juge, des époux séparés peuvent reprendre la vie commune. Comme les dispositions ordonnées par le juge perdent alors leur sens, la loi prévoit que, sauf exceptions, toutes les mesures prises en vue de la vie séparée sont caduques de plein droit. Pour déclencher les conséquences de l’art. 179 al. 2 CC, la reprise de la vie commune doit être véritable et durable: une simple tentative de reprise de la vie commune ou une cohabitation provisoire liée à des circonstances économiques ne suffisent pas. La caducité vise en particulier les contributions d’entretien: le jugement de mesures protectrices ne vaut ainsi plus titre de mainlevée d’opposition définitive (art. 80 LP) pour les contributions échues après la reprise de la vie commune (Commentaire romand, Code civil I, François Chaix, art. 179 N. 7, Bâle 2010). Ni la LRAPA ni son règlement d'application du 30 novembre 2005 (RLRAPA; BLV 850.36.1) ne définissent les conditions auxquelles l'autorité peut mettre fin à l'aide au recouvrement. On doit admettre que l'autorité peut mettre fin à son intervention lorsque l'obligation d'entretien est éteinte ou supprimée par une convention ou un jugement entré en force (dans ce sens PS.2019.0054 du 18 novembre 2019). Cela étant, dans un tel cas, l'autorité administrative se prononce préjudiciellement sur une question relevant en principe de la compétence du juge civil. Elle ne peut donc mettre fin à son intervention pour ce motif que lorsque la situation sur le plan du droit civil est claire et ne prête pas ou plus à la discussion (PS.2021.0040 du 9 novembre 2021 consid. 3c). c) En l’espèce, il est établi que la recourante et son époux ont vécu sous le même toit durant quelques semaines, du début du mois d’octobre au début du mois de novembre 2020, à quelques jours près. L’autorité intimée conclut à une reprise de la vie commune, non seulement parce que le couple a vécu ensemble à cette période, mais également en raison des déclarations que lui a faites C.________ qui avait indiqué qu’il voulait sauver son union. Dans ces circonstances, les mesures protectrices seraient devenues caduques. A partir de la reprise de la vie commune, les avances ne seraient plus dues et le montant versé à ce titre perçu indûment par la recourante qui n’aurait pas signalé la reprise de la vie commune. Or, le bref retour du mari de la recourante au domicile de cette dernière s’inscrit dans des circonstances tout à fait particulières, dont la décision attaquée fait à tort abstraction. Premièrement, elle intervient alors que le couple vivait séparé depuis le 20 octobre 2018, soit depuis plus de deux ans. Durant ce laps de temps, il n’est nullement établi que les époux se seraient durablement réconciliés. Aucun élément du dossier ne permet de penser que les tentatives dans ce sens évoquées par la recourante au moment où elle signait la cession de créance en faveur du BRAPA en août 2019 auraient abouti. Si C.________ est brièvement retourné vivre chez la recourante au début du mois d’octobre 2020, c’est peut-être dans un vague espoir de réconciliation – au demeurant non partagé – avec la mère de sa fille mais c’est surtout parce qu’il n’avait nulle part d’autre où aller à son retour du Maroc. Ce dernier s’est en effet retrouvé bloqué dans son pays d’origine dès le début du mois de mars 2020 en raison de la pandémie de Covid-19. Il a alors perdu son appartement en Suisse. La recourante l’a ensuite accueilli chez elle pour qu’il effectue une quarantaire de dix jours, qu’il trouve un nouveau logement et un nouveau travail. En agissant de la sorte, la recourante a également favorisé la reprise des relations personnelles entre C.________ et leur fille, puisque cette enfant avait semble-t-il beaucoup souffert d’être séparée de son père durant les mois que celui-ci avait été contraint de passer au Maroc. Que C.________ ait eu pour espoir de sauver son couple ne change rien au fait que la recourante n’avait de son côté pas l’intention de reprendre la vie commune mais juste d’aider le père de sa fille. Une demande unilatérale en divorce a en outre été déposée peu de temps après, ce qui corrobore les déclarations de la recourante suivant lesquelles il n’y avait pas de reprise de la vie commune véritable et durable après le bref emménagement de son époux chez elle. Dans ces conditions, c’est à tort que l’autorité intimée a considéré que les mesures protectrices de l’union conjugale étaient devenues caduques et qu’elle n’était plus tenue d’avancer les prestations dues pour l’entretien de l’enfant B.________. C'est partant également à tort qu'elle a requis le remboursement de prestations pour la période litigieuse d'octobre 2020 et exigé le dépôt d'une nouvelle demande de mesures protectrices de l'union conjugale avant de verser de nouvelles avances. Les décisions du 30 novembre et du 7 décembre 2020 doivent en conséquence être annulées et le dossier renvoyé à l'autorité intimée pour nouvelle décision relative aux prestations dues à la recourante pour la période d'octobre 2020 à février 2021, étant rappelé que l'autorité intimée a repris les versements d'avances à partir du 1 er mars 2021.</w:t>
      </w:r>
    </w:p>
    <w:p>
      <w:r>
        <w:rPr>
          <w:b/>
        </w:rPr>
        <w:t>E. 3</w:t>
      </w:r>
    </w:p>
    <w:p>
      <w:r>
        <w:t>Les considérants qui précèdent conduisent à l’admission du recours et à l’annulation des décisions attaquées, le dossier étant renvoyé à l'autorité intimée pour nouvelle décision au sens des considérants. Le présent arrêt est rendu sans frais ni dépens (art. 49 et 55 LPA-VD; art. 4 al. 3 du tarif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