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PS.2020.0093 vom 17. Dezember 2020</w:t>
      </w:r>
    </w:p>
    <w:p>
      <w:r>
        <w:t>VD Tribunal cantonal, 2020-12-17, FR</w:t>
      </w:r>
    </w:p>
    <w:p>
      <w:r>
        <w:rPr>
          <w:b/>
        </w:rPr>
        <w:t xml:space="preserve">Quelle: </w:t>
      </w:r>
      <w:r>
        <w:t>https://mcp.opencaselaw.ch/entscheid/vd_omni_PS.2020.0093</w:t>
      </w:r>
    </w:p>
    <w:p>
      <w:r>
        <w:t>FR: VD_OMNI PS.2020.0093 du 17 décembre 2020</w:t>
      </w:r>
    </w:p>
    <w:p>
      <w:r>
        <w:t>IT: VD_OMNI PS.2020.0093 del 17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8C_92/2021,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17 juin 2020, le CSR Riviera a rendu la décision de calcul du droit au RI pour le mois de mai 2020 (prestations pour vivre en juin 2020). A.________ a recouru contre cette décision. La DGCS a rejeté ce recours, dans la mesure où il était recevable, par une décision rendue le 16 octobre 2020 (cause RI.2020.397). Elle a partant confirmé la décision du CSR du 17 juin 2020. A.________ a recouru contre cette décision de la DGCS auprès de la CDAP. Son recours a été rejeté par un arrêt rendu le 11 décembre 2020 (cause PS.2020.0084).</w:t>
      </w:r>
    </w:p>
    <w:p>
      <w:r>
        <w:rPr>
          <w:b/>
        </w:rPr>
        <w:t>E. 4</w:t>
      </w:r>
    </w:p>
    <w:p>
      <w:r>
        <w:t>Le 29 juillet 2020, le CSR Riviera a rendu la décision de calcul du droit au RI pour le mois de juin 2020 (prestations pour vivre en juillet 2020). Les données suivantes ont été retenues: "Forfait: 1'110 fr. Forfait frais particuliers: 50 fr. Loyer: 1'850 fr. Revenus à déduire (rente AVS et prestations complémentaires): 2'721 fr. Droit RI: 289 fr." Le 31 août 2020, A.________ a recouru contre cette décision. La DGCS a rejeté ce recours, dans la mesure où il était recevable, par une décision rendue le 29 octobre 2020 (cause RI.2020.403). Elle a partant confirmé la décision du CSR du 17 juin 2020. La DGCS a par ailleurs rejeté la demande d'assistance judiciaire présentée par la recourante. Comme, d'après la DGCS, ce recours du 31 août 2020 visait également la décision du CSR du 17 juin 2020 calculant le droit au RI pour le mois de mai 2020, la décision sur recours du 29 octobre 2020 déclare le recours irrecevable dans cette mesure, pour tardiveté.</w:t>
      </w:r>
    </w:p>
    <w:p>
      <w:r>
        <w:rPr>
          <w:b/>
        </w:rPr>
        <w:t>E. 5</w:t>
      </w:r>
    </w:p>
    <w:p>
      <w:r>
        <w:t>Le 3 décembre 2020, A.________ a adressé à la CDAP un recours de droit administratif contre la décision de la DGCS. Elle affirme avoir reçu cette décision le 2 décembre 2020. Il n'a pas été demandé de réponse.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Il en ressort d'abord que la recourante ne conteste pas que le délai de recours contre la décision du CSR du 17 juin 2020 était échu lorsqu'elle a agi devant la DGCS. L'irrecevabilité du recours administratif, dans la mesure où il visait également la décision sur le droit au RI pour le mois de mai 2020 étant admise – la recourante précisant même que c'est par erreur que la DGCS aurait considéré que son recours visait également cette première décision du CSR –, le litige ne porte en définitive que sur le droit au RI pour le mois de juin 2020. Il y a lieu de préciser que le droit au RI pour le mois de mai 2020 a fait l'objet d'une autre décision de la DGCS (du 16 octobre 2020) et de la CDAP (arrêt PS.2020.0084 du 11 décembre 2020).</w:t>
      </w:r>
    </w:p>
    <w:p>
      <w:r>
        <w:rPr>
          <w:b/>
        </w:rPr>
        <w:t>E. 7</w:t>
      </w:r>
    </w:p>
    <w:p>
      <w:r>
        <w:t>A propos des griefs concernant le droit au RI pour le mois de juin 2020,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6).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juin 2020, pour les dépenses ordinaires durant le mois de juillet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juin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8</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9</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