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PS.2020.0081 vom 1. Dezember 2020</w:t>
      </w:r>
    </w:p>
    <w:p>
      <w:r>
        <w:t>VD Tribunal cantonal, 2020-12-01, FR</w:t>
      </w:r>
    </w:p>
    <w:p>
      <w:r>
        <w:rPr>
          <w:b/>
        </w:rPr>
        <w:t xml:space="preserve">Quelle: </w:t>
      </w:r>
      <w:r>
        <w:t>https://mcp.opencaselaw.ch/entscheid/vd_omni_PS.2020.0081</w:t>
      </w:r>
    </w:p>
    <w:p>
      <w:r>
        <w:t>FR: VD_OMNI PS.2020.0081 du 1 décembre 2020</w:t>
      </w:r>
    </w:p>
    <w:p>
      <w:r>
        <w:t>IT: VD_OMNI PS.2020.0081 del 1 dicembre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Recours TF: 8C_29/2021,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reprises, utilisé ces voies de recours, en vain (voir à ce propos deux arrêts récents de la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12 décembre 2019, le CSR a rendu la décision de calcul du droit au RI pour le mois de novembre 2019 (prestations pour vivre en décembre 2019). Les données suivantes ont été retenues: "Forfait: 1'110 fr. Forfait frais particuliers: 50 fr. Loyer: 1'850 fr. Revenus à déduire (rente AVS et prestations complémentaires): 2'721 fr. Droit RI: 289 fr." A.________ a recouru contre cette décision. La DGCS a rejeté ce recours, dans la mesure où il était recevable, par une décision rendue le 9 octobre 2020 (cause RI.2020.367). Elle a partant confirmé la décision du CSR du 12 décembre 2019. La DGCS a par ailleurs rejeté la demande d'assistance judiciaire présentée par la recourante. Le 19 novembre 2020, A.________ a adressé à la CDAP un recours de droit administratif contre la décision de la DGCS. Il n'a pas été demandé de réponse.</w:t>
      </w:r>
    </w:p>
    <w:p>
      <w:r>
        <w:rPr>
          <w:b/>
        </w:rPr>
        <w:t>E. 4</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On comprend que la recourante déplore que certaines dépenses qu'elle a faites, en particulier pour des assurances ou des remboursements de frais médicaux, n'auraient pas été prises en charge par le CSR. Dans la décision attaquée, la DGCS relève qu'il ressort du dossier que le CSR a régulièrement pris en charge ou financé des frais liés à son état de santé, pour des soins ou l'assurance-maladie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novembre 2019, pour les dépenses ordinaires durant le mois de décembre 2019). Les prétentions à d'autres prestations ne concernent pas l'objet de la contestation. Cela est spécifiquement précisé, dans la décision attaquée (ch. 4 p. 5), à propos d'un montant très faible (1.20 fr.) réclamé par la recourante en relation avec son assurance-ménage, cette question devant être encore réglée par le CSR.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novembre 2019,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5</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il a déjà été exposé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6</w:t>
      </w:r>
    </w:p>
    <w:p>
      <w:r>
        <w:t>Le présent recours apparaît d'emblée manifestement mal fondé, de sorte qu'il doit être rejeté, dans la mesure où il est recevable, selon la procédure simplifiée de l'art. 82 LPA-VD (par renvoi de l'art. 99 LPA-VD), sans échange d'écritures ni autre mesure d'instruction. Le rejet du recours entraîne la confirmation de la décision attaquée. Vu l'application de la procédure simplifiée, la requête de la recourante tendant à ce qu'un délai de 30 jours lui soit fixé pour compléter son recours et produire des documents supplémentaires, est rejetée. Cette requête ne saurait être interprétée comme tendant à la prolongation du délai de recours, car il s'agit d'un délai légal non prolongeable (art. 21 al. 1 LPA-VD). Le certificat médical du 16 novembre 2020 qu'elle a produit, faisant état d'une cupulolothiase [recte: cupulolithiase] sévère (ce qui, à première vue, est propre à entraîner un vertige bénin paroxystique au sens de la rubrique H811 de la CIM-10), n'est pas suffisant pour justifier une restitution du délai de recours car il n'est pas établi que la recourante aurait été empêchée, sans faute de sa part, d'agir – elle-même ou par l'intermédiaire d'un représentant – dans le délai de recours de 30 jours dès le 19 octobre 2020, date de réception de la décision attaquée (cf. art. 22 LPA-VD). Elle a du reste déposé un acte de recours dans ce délai.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