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PS.2020.0077 vom 3. Juni 2021</w:t>
      </w:r>
    </w:p>
    <w:p>
      <w:r>
        <w:t>VD Tribunal cantonal, 2021-06-03, FR</w:t>
      </w:r>
    </w:p>
    <w:p>
      <w:r>
        <w:rPr>
          <w:b/>
        </w:rPr>
        <w:t xml:space="preserve">Quelle: </w:t>
      </w:r>
      <w:r>
        <w:t>https://mcp.opencaselaw.ch/entscheid/vd_omni_PS.2020.0077</w:t>
      </w:r>
    </w:p>
    <w:p>
      <w:r>
        <w:t>FR: VD_OMNI PS.2020.0077 du 3 juin 2021</w:t>
      </w:r>
    </w:p>
    <w:p>
      <w:r>
        <w:t>IT: VD_OMNI PS.2020.0077 del 3 giugno 2021</w:t>
      </w:r>
    </w:p>
    <w:p>
      <w:pPr>
        <w:pStyle w:val="Heading2"/>
      </w:pPr>
      <w:r>
        <w:t>Regeste</w:t>
      </w:r>
    </w:p>
    <w:p>
      <w:r>
        <w:t>A.________/Service de l'emploi Instance juridique chômage, Office régional de placement | Recours contre une décision de révocation des allocations cantonales d'initiation au travail (ACIT) accordées à une entreprise qui n'a pas gardé le travailleur à son service. Après la fin de la période d'essai et pendant la période pour laquelle des ACIT sont versées, le contrat de travail ne peut être résilié que pour justes motifs au sens de l'art. 337 CO. Dans le cas particulier, l'état de fait relatif à la fin des rapports de travail est flou notamment quant aux jours durant lesquels le travailleur aurait été en état de travailler: l'employeur a reproché au travailleur des absences injustifiées répétées; le travailleur a été dûment averti; il a présenté de nouvelles absences injustifiées et le contrat a été résilié. L'ORP a été informé au fur et à mesure des échanges de courriels entre employeur et travailleur. Au vu des éléments figurant au dossier, le tribunal retient que l'employeur pouvait se prévaloir à juste titre de l'existence de justes motifs. En l'occurence, il appartenait à l'ORP - qui a rendu la décision de révocation des ACIT - d'apporter la preuve que la situation n'était pas constitutive de justes motifs au sens de l'art. 337 CO. Recours admis et décision de révocation des ACIT annulée.</w:t>
      </w:r>
    </w:p>
    <w:p>
      <w:pPr>
        <w:pStyle w:val="Heading2"/>
      </w:pPr>
      <w:r>
        <w:t>Erwägungen</w:t>
      </w:r>
    </w:p>
    <w:p>
      <w:r>
        <w:rPr>
          <w:b/>
        </w:rPr>
        <w:t>E. 1</w:t>
      </w:r>
    </w:p>
    <w:p>
      <w:r>
        <w:t>a) Le recours a été déposé dans les délai et forme prescrits (art. 79, 95 et 99 de la loi vaudoise du 28 octobre 2008 sur la procédure administrative - LPA-VD; BLV 173.36). La qualité pour recourir de la recourante comme destinataire de la décision attaquée n'est par ailleurs pas douteuse (cf. art. 75 let. a LPA-VD). Il y a lieu par conséquent d'entrer en matière sur le fond. b) On ajoutera que le droit cantonal et ses autorités d'application ont mis en place pour les ACIT un mécanisme similaire à celui appliqué aux allocations d'initiation au travail prévues dans le cadre de l'assurance chômage (régie par le droit fédéral). Les allocations d'initiation (vaudoises ou fédérales) sont versées sur la base d'une décision d'octroi; cela étant, il est nécessaire, dans un premier temps, de procéder à la révocation de cette décision d'octroi, puis dans un second temps seulement de procéder à la restitution des sommes indûment versées (voir à cet égard, sur le plan fédéral art. 17 al. 2 et 25 de la loi fédérale du 6 octobre 2000 sur la partie générale du droit des assurances sociales — LPGA; RS 830.1 — qui traitent respectivement de la révocation, puis de la restitution des prestations indument touchées; voir aussi art. 95 de la loi fédérale du 25 juin 1982 sur l'assurance-chômage obligatoire et l'indemnité en cas d'insolvabilité — LACI; RS 837.0 — qui, s’agissant de la restitution, renvoie à l’art. 25 LPGA ; voir cependant ATF 126 V 42). Dans le cas d'espèce, la contestation ne peut pas sortir du cadre tracé par la décision attaquée, qui règle uniquement la question de la révocation de la décision d'octroi du 27 juin 2018. La restitution des montants versés au titre des ACIT n'a pas encore fait l'objet d'une décision, ce d'autant que la décision ici en cause n'est pas encore entrée en force (voir à ce sujet décision du 14 novembre 2018 qui se réfère à une décision à prendre par le SDE; la décision du SDE du 28 novembre 2019, qui constitue une décision d’exécution de la précédente, ne saurait être valablement prise avant même que la décision à exécuter ne soit entrée en force; voir d’ailleurs art. 58 LPA-VD). Dès lors, les conclusions de la recourante qui portent sur la thématique de la restitution des sommes indument perçues (voir ses conclusions IV et V notamment) sortent du cadre du litige et sont irrecevables.</w:t>
      </w:r>
    </w:p>
    <w:p>
      <w:r>
        <w:rPr>
          <w:b/>
        </w:rPr>
        <w:t>E. 2</w:t>
      </w:r>
    </w:p>
    <w:p>
      <w:r>
        <w:t>Avant d'aborder les griefs de la recourante, il convient de procéder à quelques rappels sur le régime applicable aux ACIT. a) Selon l’art. 26 al. 1 let. b de la loi sur l’emploi du 5 juillet 2005 (LEmp; BLV 822.11), les allocations cantonales d’initiation au travail sont considérées comme des mesures cantonales d’insertion professionnelle. Elles visent à améliorer l'aptitude au placement des demandeurs d'emploi (bénéficiaires du RI) et à favoriser le retour en emploi par des activités qualifiantes servant la concrétisation d'un projet professionnel réaliste (cf. art. 24 al. 1 LEmp). Elles sont octroyées selon les mêmes critères que les mesures du marché du travail prévues par la LACI (cf. art. 24 al. 2 LEmp), lorsque le travailleur concerné a droit aux prestations de l'assurance-chômage. Selon l’art. 28 LEmp, les ACIT peuvent être versées en faveur du demandeur d’emploi dont le placement est difficile et, lorsqu’au terme d’une période de mise au courant, il peut escompter un engagement aux conditions usuelles dans la branche et la région (al. 1). Pendant cette période, le demandeur d’emploi est mis au courant par l’employeur et reçoit de ce fait un salaire réduit (al. 2). Le demandeur d’emploi présente la demande d’allocation à l’autorité compétente avant le début de la prise d’emploi (al. 3). La durée et le montant des allocations sont fixés à l’art. 29 LEmp. Elles couvrent la différence entre le salaire effectif et le salaire normal auquel le travailleur peut prétendre au terme de sa mise au courant. Le règlement fixe les modalités relatives aux financements (al. 1). Elles sont versées pour six mois au plus (al. 2). Elles sont versées par l'intermédiaire de l'employeur, en complément du salaire convenu. L'employeur doit payer les cotisations usuelles aux assurances sociales sur l'intégralité du salaire et prélever la part du travailleur (al. 3). Aux termes de l’art. 16 al. 1 du règlement de la LEmp du 7 décembre 2005 (RLEmp; BLV 822.11.1), les allocations cantonales d'initiation au travail sont allouées pour la période de formation prévue. A cet effet, l'employeur soumet un plan de formation à l'ORP. L'employeur s'engage à former le bénéficiaire. Selon l’al. 2 de cette disposition, l’octroi des allocations est soumis à la conclusion d'un contrat de travail de durée indéterminée ou de 12 mois au minimum. Le contrat de travail doit prévoir des conditions d'emploi et de salaire conformes aux usages professionnels et locaux. Après la fin de la période d'essai et pendant la période pour laquelle une allocation cantonale d'initiation au travail est versée, le contrat de travail ne peut être résilié que pour de justes motifs, conformément à l'article 337 CO . Selon l’art. 36 al. 1 LEmp, la violation des obligations liées à l'octroi des mesures cantonales d'insertion professionnelle mentionnées à l'article 26 al. 1 let. a et b (ACIT), peut donner lieu à leur suppression et à la restitution des sommes perçues indûment, avec intérêt et frais; l’art. 41 de la loi sur l’action sociale vaudoise du 2 décembre 2003 (LASV; BLV 850.051) demeure réservé. Selon l’al. 2 de l'art. 36 LEmp, l'autorité compétente réclame, par voie de décision, au bénéficiaire ou à sa succession, le remboursement de toutes prestations perçues indûment. En instituant les ACIT, le législateur cantonal s'est inspiré d'un régime prévu par le droit fédéral. L’art. 65 de la loi fédérale du 25 juin 1982 sur l'assurance-chômage obligatoire et l'indemnité en cas d'insolvabilité (LACI; RS 837.0) prévoit des mesures d’allocation d’initiation au travail (AIT). Il dispose que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Il ressort de la jurisprudence relative à l’art. 65 LACI, à laquelle on peut se référer également pour l’octroi des allocations d’initiation au travail prévues par le droit cantonal (la LEmp a repris en substance les dispositions fédérales dans ce domaine; cf. notamment art. 24 al. 2 LEmp) , que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 injustifiées et de prévenir la sous-enchère salariale. L’allocation ne doit soutenir l’employeur que dans la mesure des difficultés d’initiation liées à l’employé. Quant aux difficultés d’initiation liées au poste occupé, elles doivent en principe être assumées par l’employeur (ATF 112 V 248 consid. 3b; arrêt TFA C 371/99 du 22 septembre 2000 consid. 1b). Le versement des allocations d’initiation au travail a lieu sous la condition résolutoire du respect du contrat de travail, de la confirmation de l’employeur et du plan de formation (ATF 126 V 42 consid. 2b). Si les rapports de travail sont résiliés sans justes motifs avant l’échéance du délai indiqué dans la décision d’octroi des prestations, l’administration est en droit de réclamer leur remboursement (arrêt TF 8C_205/2009 du 27 mai 2009 consid. 6.2 et la référence). Selon l’art. 337 CO auquel se réfère l’art. 16 al. 2 RLEmp,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S elon la jurisprudence, la résiliation immédiate pour justes motifs, qui constitue une mesure exceptionnelle, doit être admise de manière restrictive.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(ATF 142 III 579 consid. 4.2; 129 III 380 consid. 2.1 et 2.2 et les références).</w:t>
      </w:r>
    </w:p>
    <w:p>
      <w:r>
        <w:rPr>
          <w:b/>
        </w:rPr>
        <w:t>E. 3</w:t>
      </w:r>
    </w:p>
    <w:p>
      <w:r>
        <w:t>Les faits apparaissent difficiles à établir s’agissant des circonstances précises relatives à la fin des rapports de travail entre la recourante et B.________. a) Une première hypothèse paraît pouvoir être posée: le travailleur lui-même aurait annoncé sa démission, ce à quoi l’employeur a rétorqué que l’intéressé ne pouvait pas arrêter le travail comme demandé le 25 septembre 2018, mais seulement le vendredi 28 septembre suivant (à tout le moins s’il prétendait obtenir le salaire du mois de septembre; voir courriel du contremaître de la recourante du 24 septembre 2018). De toute manière, le travailleur ne s’est pas présenté le 25 septembre, ni les jours suivants, en raison d’une incapacité de travail due à un accident. Si ces faits devaient être retenus, force serait alors de conclure que le travailleur lui-même a adressé son congé, auquel cas la recourante ne pourrait pas être responsable de la fin abrupte de l’initiation au travail. Cela devrait alors conduire à l’admission du recours. Toutefois, rien au dossier, en dehors du courriel précité du contremaître de l’employeur, ne vient confirmer que le travailleur aurait présenté sa démission (voir la lettre du 18 octobre 2018 d’B.________ à la recourante, dans laquelle il s’en prend au "licenciement" résultant du courriel précité, et la procédure introduite devant le tribunal de prud'hommes par B.________ qui y réclamait notamment le paiement d'une indemnité pour "licenciement abusif"; voir aussi un courriel de l’intéressé du 24 septembre 2018, dans lequel il conteste le fait que son employeur le mette "en fin de mission"). b) L’autre hypothèse à envisager est celle d’un licenciement du travailleur par l’entreprise bénéficiaire des ACIT et cela avant l’échéance des délais fixés dans le contrat. La recourante a d’ailleurs indiqué à plusieurs reprises qu’elle avait dû se résoudre à licencier l’intéressé pour fin septembre, dans la mesure où celui-ci n’avait pas pris la mesure de l’avertissement signifié à fin août (voir, entre autres, mémoire de recours du 14 novembre 2020, p. 4 en haut). Or, l’entreprise bénéficiaire ne peut licencier un travailleur soumis au régime des ACIT que pour justes motifs, sauf à s’exposer à devoir restituer les allocations perçues. La question à trancher est dès lors de savoir si l'ORP, qui a rendu une décision de révocation des ACIT, apporte la preuve que la recourante a licencié le travailleur sans justes motifs, étant précisé que le fardeau de la preuve incombe, dans cette configuration, à l'autorité concernée. aa) Dans le cas d’espèce, l’employeur a reproché au travailleur des absences injustifiées, successivement au mois d’août, puis en septembre 2018. De manière générale, les absences injustifiées ne constituent pas d’emblée des violations suffisamment graves de ses obligations par le travailleur, pour fonder un licenciement pour juste motif. Le principe de proportionnalité veut que, dans une telle hypothèse, l’employeur adresse au préalable un avertissement à l’employé, en lui indiquant qu’un licenciement immédiat est envisagé au cas où le travailleur persisterait dans ses manquements. Tel était bien l’objet de la lettre de la recourante adressée au travailleur le 30 août 2018. Une telle manière de procéder est tout à fait conforme au droit, spécialement au régime prévalant dans le cadre de l’art. 337 CO (voir à cet égard Rémy Wyler/Boris Heinzer, Droit du travail, 4 e édition, Berne 2019, p. 715 s. et 737 ss). Cependant, lorsque de telles fautes se répètent, elles peuvent alors déboucher à juste titre sur un licenciement pour juste motif (Wyler/Heinzer, op. cit., p. 716, voir aussi p. 731 et 737 ss). En l’occurrence, les absences du mois d’août 2018 ont fait l’objet d’excuses présentées par courrier électronique le 24 septembre 2018; deux d’entre elles sont liées à des accidents, alors que les autres excuses présentées sont peu convaincantes. Quant aux absences de septembre 2018, l’une d’elles est justifiée par le dépôt d’un certificat médical (il s’agit de l’absence du 25 à la fin du mois de septembre 2018, pour laquelle un tel certificat figure au dossier); l’absence du 5 au 12 septembre n’est en revanche pas documentée. Enfin, l’intéressé paraît avoir offert ses services lors d’un téléphone du 8 octobre 2018, dès la fin de son incapacité, pour la période subséquente; il n’a cependant pas repris le travail auprès de la recourante par la suite. bb) En définitive, il faut retenir que la recourante, en tant qu’employeur, pouvait se prévaloir à juste titre de l’existence de justes motifs de licenciement, liés à des absences répétées; à tout le moins, au vu des circonstances de fait difficiles à établir, la cour, malgré la transaction intervenue devant le tribunal de prud’hommes, parvient à cette conclusion. Il convient en effet de relever à cet égard que l’ORP a rendu une décision de révocation de l’aide allouée; ce faisant, c’est sur lui que pèse le fardeau de la preuve du fait justifiant le retrait de l’ACIT en cause, étant précisé il est vrai que l’on doit attendre de l’employeur une collaboration à l’administration des preuves. En l’occurrence, ce dernier a fourni diverses pièces qui établissaient la dégradation des relations de travail avec B.________ aux mois d’août et septembre 2018 (ces pièces étaient d’ailleurs transmises à l’ORP sans que ce dernier ne réagisse); il faut en déduire une situation où l’employeur pouvait se prévaloir de justes motifs, l’ORP se bornant à affirmer le contraire sans fournir de contre-preuve.</w:t>
      </w:r>
    </w:p>
    <w:p>
      <w:r>
        <w:rPr>
          <w:b/>
        </w:rPr>
        <w:t>E. 4</w:t>
      </w:r>
    </w:p>
    <w:p>
      <w:r>
        <w:t>Il résulte des considérants qui précèdent que le SDE a retenu à tort que la recourante avait résilié elle-même les rapports de travail qui la liait au travailleur sans disposer de justes motifs conformément à l'art. 337 CO. Cela conduit, sur le principe, à l'admission du recours, dans la mesure où il est recevable. La décision attaquée doit ainsi être réformée en ce sens que la décision initiale du 14 novembre 2018 est annulée. Il n'y pas lieu de percevoir un émolument judiciaire (art. 4 al. 3 du tarif des frais judiciaires et des dépens en matière administrative du 28 avril 2015 - TFJDA; BLV 176.36.5.1 et 52 al. 1 LPA-VD). La recourante, qui obtient gain de cause et qui a agi par l'intermédiaire d'un mandataire professionnel pour ce qui concerne le dépôt du recours, a droit à des dépens, fixés à 1'200 fr., à charge de l'autorité intimée (art. 55 LPA-VD,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