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PS.2020.0050 vom 8. Juni 2021</w:t>
      </w:r>
    </w:p>
    <w:p>
      <w:r>
        <w:t>VD Tribunal cantonal, 2021-06-08, FR</w:t>
      </w:r>
    </w:p>
    <w:p>
      <w:r>
        <w:rPr>
          <w:b/>
        </w:rPr>
        <w:t xml:space="preserve">Quelle: </w:t>
      </w:r>
      <w:r>
        <w:t>https://mcp.opencaselaw.ch/entscheid/vd_omni_PS.2020.0050</w:t>
      </w:r>
    </w:p>
    <w:p>
      <w:r>
        <w:t>FR: VD_OMNI PS.2020.0050 du 8 juin 2021</w:t>
      </w:r>
    </w:p>
    <w:p>
      <w:r>
        <w:t>IT: VD_OMNI PS.2020.0050 del 8 giugno 2021</w:t>
      </w:r>
    </w:p>
    <w:p>
      <w:pPr>
        <w:pStyle w:val="Heading2"/>
      </w:pPr>
      <w:r>
        <w:t>Regeste</w:t>
      </w:r>
    </w:p>
    <w:p>
      <w:r>
        <w:t>A.________/Direction générale de la cohésion sociale (DGCS), Centre social Régional du Jura-Nord vaudois | Recours contre une décision ordonnant la restitution d'un montant RI indûment perçu. Sont considérés comme des revenus les prêts des parents de même que des versement effectués par l'ex-conjointe dans le cadre du jugement de divorce.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 recours satisfaisant par ailleurs aux conditions formelles énoncées par l'art. 79 LPA-VD et il y a lieu d'entrer en matière.</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Il résulte de ce qui précède que le recours doit être rejeté et la décision attaquée, confirmée. Il est statué sans frais ni dépens (art. 45 LPA-VD en relation avec l'art. 4 al. 3 du tarif des frais judiciaires et des dépens en matière administrative du 28 avril 2015 [TFJDA; BLV 173.36.5.1];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