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PS.2020.0043 vom 11. August 2020</w:t>
      </w:r>
    </w:p>
    <w:p>
      <w:r>
        <w:t>VD Tribunal cantonal, 2020-08-11, FR</w:t>
      </w:r>
    </w:p>
    <w:p>
      <w:r>
        <w:rPr>
          <w:b/>
        </w:rPr>
        <w:t xml:space="preserve">Quelle: </w:t>
      </w:r>
      <w:r>
        <w:t>https://mcp.opencaselaw.ch/entscheid/vd_omni_PS.2020.0043</w:t>
      </w:r>
    </w:p>
    <w:p>
      <w:r>
        <w:t>FR: VD_OMNI PS.2020.0043 du 11 août 2020</w:t>
      </w:r>
    </w:p>
    <w:p>
      <w:r>
        <w:t>IT: VD_OMNI PS.2020.0043 del 11 agosto 2020</w:t>
      </w:r>
    </w:p>
    <w:p>
      <w:pPr>
        <w:pStyle w:val="Heading2"/>
      </w:pPr>
      <w:r>
        <w:t>Regeste</w:t>
      </w:r>
    </w:p>
    <w:p>
      <w:r>
        <w:t>A.________/Direction générale de la cohésion sociale (DGCS), CENTRE SOCIAL REGIONAL NYON-ROLLE | Recours irrecevable pour tardiveté. Si l'on ignore à quelle date la décision attaquée a été notifiée au recourant et quand ce dernier l’a reçue, il est cependant inutile de procéder à des actes d’instruction supplémentaires; ce dernier a lui-même reconnu dans ses écritures que son recours avait été formé «hors date limite». Aucun doute ne subsiste dès lors sur le fait que le recours a été interjeté de façon tardive.</w:t>
      </w:r>
    </w:p>
    <w:p>
      <w:pPr>
        <w:pStyle w:val="Heading2"/>
      </w:pPr>
      <w:r>
        <w:t>Erwägungen</w:t>
      </w:r>
    </w:p>
    <w:p>
      <w:r>
        <w:rPr>
          <w:b/>
        </w:rPr>
        <w:t>E. 1</w:t>
      </w:r>
    </w:p>
    <w:p>
      <w:r>
        <w:t>a) Lorsqu'un recours paraît tardif, l'autorité interpelle le recourant en lui impartissant un bref délai pour se déterminer ou pour retirer son recours (art. 78 al. 1 de la loi cantonale du 28 octobre 2008 sur la procédure administrative [ LPA-VD; BLV 173.36 ], applicable par renvoi de l’art. 99 LPA-VD) . Si le recours est retiré, la cause est rayée du rôle sans frais (art. 78 al. 2 LPA-VD). Si le recours n'est pas retiré, l'autorité peut rendre une décision d'irrecevabilité sommairement motivée. Elle statue sur les frais et dépens (al. 3). b) Par avis du 23 juillet 2020, le recourant a été invité à se déterminer dans les cinq jours sur la tardiveté de son recours. Il a expressément été informé qu’en cas de maintien ou à défaut de réponse dans le délai imparti, la CDAP statuerait sur la recevabilité du recours, ainsi que sur les frais et dépens. Or, il ressort sans ambiguïté de sa réponse datée du 24 juillet 2020, que le recourant maintient son recours; il ne s’exprime en revanche ni sur le fait qu’il aurait agi de manière tardive, ni même sur les circonstances expliquant ce retard. Il y a donc lieu de statuer sur la recevabilité de son recours. On rappelle à cet égard qu’un membre du Tribunal cantonal a la compétence de statuer en tant que juge unique, notamment sur les recours manifestement irrecevables (cf. art. 94 al. 1 let. d LPA-VD).</w:t>
      </w:r>
    </w:p>
    <w:p>
      <w:r>
        <w:rPr>
          <w:b/>
        </w:rPr>
        <w:t>E. 2</w:t>
      </w:r>
    </w:p>
    <w:p>
      <w:r>
        <w:t>a) Le Tribunal cantonal connaît des recours contre les décisions et décisions sur recours rendues par les autorités administratives, lorsque la loi ne prévoit aucune autre autorité pour en connaître (art. 92 al. 1 LPA-VD). Le recours au Tribunal cantonal s'exerce dans les 30 jours dès la notification de la décision ou du jugement attaqués (art. 95 LPA-VD). Les délais fixés dans la loi ne peuvent être prolongés (cf. art. 21 al. 1 LPA-VD). Ceux impartis par l’autorité peuvent être prolongés s’il existe des motifs sérieux ou suffisants et que la demande de prolongation est présentée avant l’expiration de ces délais (cf.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ème édition, Berne 2011, n° 2.2.6.7). L’inobservation des délais légaux ne peut, quant à elle, être corrigée que par la voie de la restitution (v. Jean-Maurice Frésard, in : Commentaire de la loi sur le Tribunal fédéral, 2 ème éd., Berne 2014, n°4 ad art. 47 LTF). b)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 ATF 137 III 208 consid. 3.1.2; théorie de la réception, v. ég. ATF 143 III 15 consid. 4.1 p. 18); il suffit que celui-ci puisse en prendre connaissance (arrêts  2C_1021/2018 du 26 juillet 2019 consid. 4.1; 2C_855/2018 du 24 octobre 2018 consid. 3.2;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que d’eux-mêmes ou de leurs représentants (Moor/Poltier, op. cit., n° 2.2.8.4, références citées). S'agissant d'un envoi en courrier "A Plus", celui-ci est réputé notifié dès son dépôt dans la boîte aux lettres ou la case postale de son destinataire, moment qui constitue le point de départ pour le calcul du délai de recours (arrêt 8C_754/2018 du 7 mars 2019 consid. 7.2.3 et les références citées).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du Tribunal fédéral 1C_634/2015 du 26 avril 2016 consid. 2.1 ). Depuis l'abrogation, le 1 er janvier 1998, de l'ordonnance du 1 er septembre 1967 relative à la loi sur le service des postes, le service universel est désormais régi par la poste elle-même (art. 2 de la loi fédérale du 30 juillet 1997 sur la poste [LPO; RS 783.0]). Il ressort des conditions de prestations de la poste, applicables dès le mois de janvier 1998, que le courrier A est distribué, sauf le dimanche et les jours fériés, le lendemain, le courrier B l'étant pour sa part le troisième jour ouvrable qui suit celui du dépôt, sauf le samedi. Cependant, la preuve de la date de réception de la décision litigieuse ne peut être établie par la seule référence aux délais usuels d’acheminement des envois postaux. Néanmoins, dans certaines circonstances, l'attitude du destinataire de l'envoi peut constituer un élément d'appréciation susceptible d'être déterminant pour retenir la notification d'un acte ou le fait que celle-ci est intervenue avant une certaine date (ATF 142 IV 125 consid. 4.4 et les réf. cit.). L’art. 44 LPA-VD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w:t>
      </w:r>
    </w:p>
    <w:p>
      <w:r>
        <w:rPr>
          <w:b/>
        </w:rPr>
        <w:t>E. 3</w:t>
      </w:r>
    </w:p>
    <w:p>
      <w:r>
        <w:t>a) En la présente espèce, la décision est sans doute datée du 14 mai 2020; on ignore cependant à quelle date elle a été notifiée au recourant et quand ce dernier l’a reçue. Il est cependant inutile de procéder à des actes d’instruction supplémentaires et de requérir de l’autorité intimée des précisions à cet égard. En effet, le recourant a lui-même reconnu, au début de son écrit du 20 juillet 2020, que son recours avait été formé «hors date limite» , c’est-à-dire au-delà du trentième jour utile. b) Aucun doute ne subsiste dès lors sur le fait que le recours a été interjeté de façon tardive; par conséquent, celui-ci sera déclaré irrecevable et le Tribunal n’entrera pas en matière sur le fond. Il n’y a pas lieu d’examiner au surplus si les conditions de la restitution du délai sont réunies (cf. art. 22 al. 1 LPA-VD), le recourant ne formulant aucune demande en ce sens.</w:t>
      </w:r>
    </w:p>
    <w:p>
      <w:r>
        <w:rPr>
          <w:b/>
        </w:rPr>
        <w:t>E. 4</w:t>
      </w:r>
    </w:p>
    <w:p>
      <w:r>
        <w:t>Le présent arrêt sera rendu sans frais (cf. art. 4 al. 3 du tarif des frais judiciaires et des dépens en matière administrative [ TFJDA; BLV 173.36.5.1 ] ).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