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PS.2019.0077 vom 15. Juni 2020</w:t>
      </w:r>
    </w:p>
    <w:p>
      <w:r>
        <w:t>VD Tribunal cantonal, 2020-06-15, FR</w:t>
      </w:r>
    </w:p>
    <w:p>
      <w:r>
        <w:rPr>
          <w:b/>
        </w:rPr>
        <w:t xml:space="preserve">Quelle: </w:t>
      </w:r>
      <w:r>
        <w:t>https://mcp.opencaselaw.ch/entscheid/vd_omni_PS.2019.0077</w:t>
      </w:r>
    </w:p>
    <w:p>
      <w:r>
        <w:t>FR: VD_OMNI PS.2019.0077 du 15 juin 2020</w:t>
      </w:r>
    </w:p>
    <w:p>
      <w:r>
        <w:t>IT: VD_OMNI PS.2019.0077 del 15 giugno 2020</w:t>
      </w:r>
    </w:p>
    <w:p>
      <w:pPr>
        <w:pStyle w:val="Heading2"/>
      </w:pPr>
      <w:r>
        <w:t>Regeste</w:t>
      </w:r>
    </w:p>
    <w:p>
      <w:r>
        <w:t>A.________/Direction générale de la cohésion sociale (DGCS), Centre social régional JURA-NORD VAUDOIS | Recours déposé contre une décision de la DGCS confirmant une décision du CSR rejetant la demande d'octroi du Revenu d'insertion (RI) formée par un ressortissant portugais. Il apparaît, au regard de l'ensemble des circonstances d'espèce, que le recourant n'a pas fourni les renseignements nécessaires à établir son indigence et, partant, qu'il n'a pas satisfait à son obligation de renseigner et de collaborer. L'autorité n'a dès lors pas abusé de son pouvoir d'appréciation ni violé le droit en confirmant le refus d'octroi du RI en sa faveur.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Ces limites sont augmentées de Fr. 2'000. – par enfant mineur à charge, mais ne peuvent pas dépasser Fr. 10'000. – par famille.</w:t>
      </w:r>
    </w:p>
    <w:p>
      <w:r>
        <w:rPr>
          <w:b/>
        </w:rPr>
        <w:t>E. 3</w:t>
      </w:r>
    </w:p>
    <w:p>
      <w:r>
        <w:t>En l'espèce, le recourant fait valoir qu'il ne disposerait plus d'aucune fortune personnelle, dès lors qu'il aurait entièrement dépensé le montant de 100'955 fr. 40 versé par sa caisse de compensation AVS le 24 août 2018. Il convient d'abord de relever que la prestation de prévoyance professionnelle perçue rétroactivement par le recourant sous forme de capital librement disponible versé sur son compte bancaire constitue en principe un élément de fortune à prendre en considération en application des art. 18 et 19 RLASV, ce qui n'est du reste pas contesté par l'intéressé. A la suite du CSR, l'autorité intimée retient que le recourant n'a pas rendu vraisemblable, compte tenu de son devoir de collaboration (cf. consid. 2c ci-dessus), qu'il n'était plus en possession du montant précité au moment du dépôt de sa nouvelle demande de prestations du RI le 20 mars 2019. La cour de céans disposant d'un libre pouvoir d'examen en fait et en droit (art. 89 et 99 LPA-VD), il convient d'établir les faits à la lumière de l'ensemble du dossier, étant relevé notamment que le recourant n'a produit aucune pièce à l'appui de son recours. Il résulte des relevés bancaires mensuels au dossier que le solde du compte bancaire privé du recourant, sur lequel le montant de 100'955 fr. 40 a été versé le 24 août 2018, a évolué de la façon suivante : 91'218 fr. 02 au 31 août 2018, 74'185 fr. 59 au 30 septembre 2018, 64'894 fr. 75 au 31 octobre 2018, 55'368 fr. 63 au 30 novembre 2018, 38'514 fr. 12 au 31 décembre 2018, 414 fr. 49 au 31 janvier 2019, et 1'146 fr. 69 au 28 février 2019. Il ressort en outre que les débits effectués sur ce compte sont essentiellement de deux sortes, savoir paiement de bien ou de service par carte bancaire ou retrait d'espèces au bancomat ou au guichet de la banque. S'agissant plus particulièrement de la seconde catégorie, les retraits d'argent liquide se sont élevés au total à 10'615 fr. 55 pour le mois d'août 2018 (24 au 31 août), 13'850 fr. pour le mois de septembre 2018, 5'744 fr 40 pour le mois d'octobre 2018, 5'916 fr. 70 pour le mois de novembre 2018, 12'196 fr. 30 pour le mois de décembre 2018, 37'170 fr. pour le mois de janvier 2019, et 798 fr. 10 pour le mois de février 2019, ce qui représente un montant total de 86'291 fr. 05 pour toute la période. On relèvera par ailleurs que le recourant percevait comme seul revenu mensuel pendant cette période une rente invalidité de 432 fr. 30 de la Caisse nationale suisse d'assurance en cas d'accidents (CNA/SUVA). Il y a lieu de retenir comme l'autorité intimée que les retraits d'argent liquide figurant sur les relevés bancaires ne permettent pas, en eux-mêmes, d'attester de la dépense effective de la somme débitée par son transfert en mains d'un tiers. Il convient dès lors que le recourant fournisse des justificatifs de ces dépenses, ou à tout le moins des explications circonstanciées propres à établir l'emploi vraisemblable des montants en cause, afin d'établir son indigence, en vertu du devoir de collaborer posé par l'art. 38 LASV. Le recourant avait d'ailleurs été expressément rendu attentif lors d'un entretien au CSR le</w:t>
      </w:r>
    </w:p>
    <w:p>
      <w:r>
        <w:rPr>
          <w:b/>
        </w:rPr>
        <w:t>E. 6</w:t>
      </w:r>
    </w:p>
    <w:p>
      <w:r>
        <w:t>décembre 2018 s'élèvent à un total de 3'250 fr. environ, ce qui est très loin de correspondre aux retraits d'argent liquide intervenus en décembre 2018 et janvier 2019 cités plus haut, qui se montent à 44'270 fr. au total (et qui ne représentent pas l'ensemble des retraits en espèces effectués pendant ces deux mois). A cet égard, il apparaît surprenant que le recourant ne dispose pas de plus de documents justificatifs à présenter pour démontrer l'utilisation effective de cette somme élevée. Il ressort encore des relevés bancaires que le recourant s'acquitte d'un loyer mensuel de 1'150 fr. directement par virement bancaire (et non par retrait en argent liquide). Ce loyer est comptabilisé dans le budget courant de l'intéressé estimé par le CSR à environ 4'000 fr. par mois (cf. Journal d'interventions figurant au dossier). Sur cette base, les dépenses courantes du recourant s'élèveraient ainsi à 28'000 fr. environ pour les mois d'août 2018 à février 2019. Même en y ajoutant le montant de 9'000 fr. cité plus haut résultant des justificatifs produits (quitte à prendre le risque de comptabiliser à double certaines dépenses), on atteindrait un nouveau total de 37'000 fr. environ, lequel serait encore loin de couvrir la somme de 86'291 fr. 05 retirée par le recourant. Dans ses explications du 1 er juillet 2019, le recourant déclare s'être acquitté chaque mois de ses factures mensuelles et il soutient avoir également effectué des dépenses particulières (2'500 fr. pour des aménagements dans son appartement; 3'000 fr. pour la réparation de sa voiture) et payé des achats divers (1'800 fr. pour ses enfants; 2'300 fr. pour un salon et une télévision; 4'500 fr. pour un billet d'avion pour le Portugal ainsi que des cadeaux pour sa famille; un montant non précisé pour des cadeaux de Noël pour ses enfants et sa famille). Il prétend également avoir procédé à des remboursements de dettes contractées auprès de sa famille et d'amis pour un montant de 18'000 francs. Il indique encore avoir effectué des retraits d'argent pour des montants respectifs de 3'150 francs et 36'000 francs. Il précise enfin avoir " fait des bêtises ", à savoir jouer aux machines à sous et consommer de l'alcool ainsi que des drogues, sans toutefois énoncer les montants concernés. Les explications fournies par le recourant ne lui sont toutefois que de peu de secours. En effet, la simple mention des retraits de 3'150 fr. et 36'000 fr. en espèces ne permet aucunement d'attester du transfert concret des montants concernés en dehors du patrimoine de l'intéressé, comme déjà relevé plus haut. Par ailleurs, l'important remboursement de dettes invoqué par le recourant ne saurait être retenu en l'absence de toute pièce justificative (telle que par ex. une attestation écrite du ou des créanciers). Cela étant, l'opacité subsiste donc sur l'utilisation effective de la plus grande partie de la somme de 86'291 fr. 05 retirée en argent liquide par le recourant, et, par conséquent, sur la consommation de l'intégralité de la fortune, de plus de 100'000 fr., dont l'intéressé disposait peu de temps avant le dépôt de sa nouvelle demande. En l'état, il doit dès lors être admis que sa fortune dépasse la limite prévue à l'art. 18 RLASV pour ouvrir le droit au RI. En définitive, il y a lieu de retenir que le recourant n'a pas fourni les renseignements nécessaires à établir son indigence et, partant, qu'il n'a pas satisfait à son obligation de renseigner et de collaborer. L'autorité intimée n'a dès lors pas abusé de son pouvoir d'appréciation ni violé le droit en confirmant le refus d'octroi de prestations du RI en sa faveur. Cela étant, le recourant conserve la faculté de déposer, à tout moment, une nouvelle demande de prestations du RI, s'il estime remplir dorénavant les conditions posées par la loi, en attestant, le cas échéant, de son indigence. A cet égard, il sied à toutes fins utiles de préciser à l'attention des autorités en charge de l'aide sociale, et en particulier du CSR, que le fait que le recourant n'a pas satisfait à son devoir de collaboration ne peut conduire à nier son droit au RI que temporairement. La fortune du recourant est censée permettre à ce dernier de s'acquitter principalement de ses dépenses mensuelles courantes; elle diminue ainsi progressivement dans cette mesure. Ne pas tenir compte de cet élément au seul motif que le recourant n'a pas fourni les pièces justificatives permettant de déterminer le solde de sa fortune aurait pour conséquence que ce dernier ne pourrait jamais prétendre au RI, ce qui ne serait pas admissible. 4. Les considérants qui précèdent conduisent au rejet du recours et à la confirmation de la décision attaquée. L'arrêt est rendu sans frais , la procédure dans les affaires de prestations sociales étant gratuite (art. 49 al. 1, 91 et 99 LPA-VD; art. 4 al. 3 du Tarif du 28 avril 2015 des frais judiciaires et des dépens en matière administrative [TFJDA; BLV 173.36.5.1]). Au vu de l'issue du litige,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