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PS.2019.0057 vom 23. Januar 2020</w:t>
      </w:r>
    </w:p>
    <w:p>
      <w:r>
        <w:t>VD Tribunal cantonal, 2020-01-23, FR</w:t>
      </w:r>
    </w:p>
    <w:p>
      <w:r>
        <w:rPr>
          <w:b/>
        </w:rPr>
        <w:t xml:space="preserve">Quelle: </w:t>
      </w:r>
      <w:r>
        <w:t>https://mcp.opencaselaw.ch/entscheid/vd_omni_PS.2019.0057</w:t>
      </w:r>
    </w:p>
    <w:p>
      <w:r>
        <w:t>FR: VD_OMNI PS.2019.0057 du 23 janvier 2020</w:t>
      </w:r>
    </w:p>
    <w:p>
      <w:r>
        <w:t>IT: VD_OMNI PS.2019.0057 del 23 gennaio 2020</w:t>
      </w:r>
    </w:p>
    <w:p>
      <w:pPr>
        <w:pStyle w:val="Heading2"/>
      </w:pPr>
      <w:r>
        <w:t>Regeste</w:t>
      </w:r>
    </w:p>
    <w:p>
      <w:r>
        <w:t>A.________, B.________/Direction générale de la cohésion sociale (DGCS) | Recours contre la décision de la DGCS ordonnant la restitution de prestations du RI perçues à tort par un couple marié. Constat que les conditions étaient réunies pour la reformatio in peius de la décision du CSR (c. 1). Le recourant a violé son obligation de renseigner en se contentant de fournir des extraits de son compte bancaire, sans reporter les salaires perçus dans ses déclarations mensuelles de revenus. L'obligation de remboursement n'est pas prescrite, le CSR ayant interrompu le délai de dix ans par la notification de sa décision (c. 4). La recourante a tu l'existence d'un compte bancaire au Maroc, sur lequel des pensions de retraite et une part d'héritage ont été versées. Un tel silence ne peut s'expliquer par le fait que l'exportation de devises marocaines à l'étranger est limitée, des transferts de fonds vers la Suisse étant en réalité possibles moyennant le respect de certaines démarches. Les recourants ont du reste violé leur devoir de renseigner en ne déclarant pas les ressources en question (c. 5). Rejet du recours et confirmation de la décision attaquée, dont le dispositif est rectifié pour tenir compte d'une inadvertance dont la DGCS a fait preuve en calculant l'indu.</w:t>
      </w:r>
    </w:p>
    <w:p>
      <w:pPr>
        <w:pStyle w:val="Heading2"/>
      </w:pPr>
      <w:r>
        <w:t>Erwägungen</w:t>
      </w:r>
    </w:p>
    <w:p>
      <w:r>
        <w:rPr>
          <w:b/>
        </w:rPr>
        <w:t>E. 1</w:t>
      </w:r>
    </w:p>
    <w:p>
      <w:r>
        <w:t>Le litige porte sur le bien-fondé de la décision de restitution de l'indu du 30 juillet 2019. Les recourants ne s'opposent pas au montant de 28'122 fr. 90 qui leur est réclamé. Ils contestent en revanche être tenus à remboursement au motif qu'ils auraient omis d’annoncer des ressources perçues du mois de décembre 2008 au mois d'août 2016, alors qu'ils bénéficiaient des prestations du RI.</w:t>
      </w:r>
    </w:p>
    <w:p>
      <w:r>
        <w:rPr>
          <w:b/>
        </w:rPr>
        <w:t>E. 2</w:t>
      </w:r>
    </w:p>
    <w:p>
      <w:r>
        <w:t>En arrêtant le montant soumis à restitution à 28'122 fr. 90, l'autorité intimée a réformé au détriment des recourants la décision du CSR du 5 mars 2018 en tant qu'elle fixait l'indu à 20'696 fr. 90. Il convient d'emblée d'examiner si les conditions d'une reformatio in peius ont été respectées. a) Selon l'art. 89 de la loi vaudoise du 28 octobre 2008 sur la procédure administrative (LPA-VD; BLV 173.36 ) , l'autorité n'est pas liée par les conclusions des parties (al. 1). Elle peut modifier la décision à l'avantage ou au détriment du recourant (al. 2). Dans ce dernier cas, elle l'en informe et lui impartit un délai pour se déterminer ou pour retirer son recours (al. 3). L'obligation, pour l'autorité de recours qui envisage de procéder à une reformatio in peius de la décision attaquée, d'attirer au préalable l'attention du recourant quant à cette éventualité et de lui donner l'occasion de s'exprimer, résulte directement de la garantie du droit d'être entendu consacrée à l'art. 29 al. 2 de la Constitution fédérale de la Confédération suisse du 18 avril 1999 (Cst.; RS 101). Le recourant a alors la possibilité de retirer son pourvoi, afin de parer à la menace d'une aggravation de sa situation (ATF 122 V 166 consid. 2a). b) En l'espèce, l'autorité intimée a informé les recourants qu'elle envisageait de procéder à une reformatio in peius de la décision du CSR en augmentant, en leur défaveur, le montant soumis à restitution. Elle a exposé les raisons qui motivaient son intention et leur a donné la possibilité de s'exprimer préalablement et, le cas échéant, de retirer leur recours. Partant, il faut admettre qu'elle a respecté le droit d'être entendu des recourants et qu'elle pouvait réformer la décision qui lui était soumise.</w:t>
      </w:r>
    </w:p>
    <w:p>
      <w:r>
        <w:rPr>
          <w:b/>
        </w:rPr>
        <w:t>E. 3</w:t>
      </w:r>
    </w:p>
    <w:p>
      <w:r>
        <w:t>Selon son art. 1,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inclut la prévention, l’appui social et le RI (al. 2).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RI comprend une prestation financière et peut, cas échéant, également comprendre des prestations sous forme de mesures d'insertion sociale ou professionnelle (art. 27 LASV).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(al. 2).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Selon l'art. 26 du règlement du 26 octobre 2005 d'application de la LASV (RLASV; BLV 850.051.1), après déduction de la franchise, le solde des ressources du requérant, de son conjoint, de son partenaire enregistré ou de la personne qui mène de fait une vie de couple avec lui et de ses enfants mineurs à charge est porté en déduction du montant alloué au titre du RI (al. 1); ces ressources comprennent notamment les revenus nets provenant d'une activité professionnelle du requérant, de son conjoint, de son partenaire enregistré ou personne menant de fait une vie de couple avec lui (al. 2 let. a), ainsi que les rentes, pensions, suppléments pour soins intenses au sens de l'art. 42 ter al. 3 LAI et autres prestations périodiques (al. 2 let. h). Aux termes de l’art. 38 LASV,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Cette disposition est concrétisée par l’art. 29 RLASV, aux termes duquel chaque membre du ménage aidé ou son représentant légal doit déclarer sans délai à l'autorité d'application tout fait nouveau de nature à modifier le montant des prestations allouées ou à justifier leur suppression (al. 1); constituent notamment des faits nouveaux les variations concernant le revenu des personnes vivant dans le ménage (al. 2 let. f), le versement d'une rente viagère (al. 2 let. i) ou encore les droits dévolus à un membre du ménage aidé dans le cadre d'une succession (al. 2 let. j). L’art. 41 al. 1 let. a LASV prévoit enfin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arrêt PS.2019.0010 du 30 juillet 2019 consid. 4a et les références).</w:t>
      </w:r>
    </w:p>
    <w:p>
      <w:r>
        <w:rPr>
          <w:b/>
        </w:rPr>
        <w:t>E. 4</w:t>
      </w:r>
    </w:p>
    <w:p>
      <w:r>
        <w:t>Dans un premier grief, les recourants se défendent d'avoir tenté de dissimuler les salaires de 26 fr. 25, 665 fr. 35 et 67 fr. 90 qui ont été versés au recourant pour les mois de décembre 2008, avril 2009 et juin 2009, en ne les mentionnant pas dans leur déclaration mensuelle de revenus. Ils exposent que le recourant a produit ses relevés de compte indiquant les montants crédités au CSR et qu'il incombait à cette autorité d'en faire une lecture attentive. Les recourants se prévalent de leur bonne foi et se plaignent de formalisme excessif. Ils font également valoir que l'obligation de remboursement alléguée semble prescrite en vertu de l'art. 44 LASV. a) Le recourant ne peut pas être suivi quand il affirme avoir satisfait à son obligation d'annoncer les changements survenus dans sa situation financière par la production de relevés de compte. Le fait de se contenter de fournir des extraits bancaires ou postaux attestant de ressources supplémentaires non connues du CSR est loin d’être suffisant. Il incombait en réalité au recourant d'annoncer les variations de ses revenus, au sens de l'art. 29 al. 2 let. f RLASV, en reportant les sommes perçues dans chacune de ses déclarations mensuelles de façon à attirer l’attention du CSR sur ce point. Le recourant ne pouvait l’ignorer. Le formulaire de déclaration rappelle en effet les bénéficiaires du RI à leur devoir de signaler sans délai tout changement de revenus ou de fortune, fondé sur les art. 38 al. 1 LASV et 29 al. 1 RLASV. Il met également en évidence les conséquences en cas de manquement à cette obligation au sens des art. 45 al. 1 LASV et 42 RLASV. En n'annonçant pas les salaires litigieux, le recourant a failli à son obligation de renseigner. La restitution des montants de 26 fr. 25, 665 fr. 35 et 67 fr. 90 est donc justifiée. b) Le grief de la prescription ne résiste pas davantage à l'examen. Il résulte de l'art. 44 al. 1, 1 ère phrase LASV que l'obligation de remboursement se prescrit par dix ans à compter du jour où la dernière prestation a été versée. En droit privé, des actes juridiques qualifiés doivent en principe être entrepris pour interrompre la prescription (art. 135 du Code des obligations du 30 mars 1911, CO; RS 220), alors qu'en droit public, la notion d'acte interruptif de la prescription est plus large. Le délai de prescription peut être interrompu par tout moyen par lequel le créancier fait valoir sa prétention de manière appropriée (cf. arrêt PS.2019.0046 du 28 novembre 2019 consid. 3b). L'interruption du délai de prescription fait partir un nouveau délai, dès le jour qui suit celui où l'acte interruptif a eu lieu (art. 137 al. 1 CO). La durée du nouveau délai de prescription est en principe égale à celle du délai interrompu (cf. Pascal Pichonnaz, in Commentaire romand, Code des obligations I, 2 e éd., Bâle 2012 , N 1 ad art. 137). Dans le cas présent, le CSR a fait valoir sa prétention de manière appropriée e n rendant la décision du 5 mars 2018. Un tel acte a interrompu la prescription et fait partir un nouveau de délai de dix ans. Le remboursement des montants perçus n'est donc pas prescrit au sens de l'art. 44 al. 1, 1 ère phrase LASV.</w:t>
      </w:r>
    </w:p>
    <w:p>
      <w:r>
        <w:rPr>
          <w:b/>
        </w:rPr>
        <w:t>E. 5</w:t>
      </w:r>
    </w:p>
    <w:p>
      <w:r>
        <w:t>Dans un second grief, les recourants soutiennent qu'ils n'avaient pas connaissance de leur obligation de déclarer les montants qui ont été versés sur le compte bancaire de la recourante au Maroc. Ils exposent qu'ils n'avaient pas accès à ce compte depuis la Suisse et qu'ils ne se sont donc pas doutés de la nécessité d'en signaler l'existence au CSR. Les recourants estiment qu'il aurait été disproportionné d'exiger d'eux qu'ils se rendent chaque année au Maroc pour retirer le montant de 4'412 fr. équivalant à la dotation touristique annuelle autorisée. Ils précisent qu'ils ignoraient qu'il était possible de solliciter une autorisation pour transférer des fonds vers la Suisse et relèvent qu'il n'est en tous les cas pas certain que l'Office des changes marocain eût accédé à une telle demande. Dans ces circonstances, les recourants estiment qu'ils auraient été dans l'impossibilité de rembourser les éventuelles avances qui auraient pu leur être accordées par le CSR. a) Pour considérer que les recourants auraient pu transférer leur argent du Maroc vers la Suisse, l'autorité intimée s'est basée sur le site internet de l'Administration marocaine des douanes et impôts indirects ( www.douane.gov.ma ). Selon les informations à disposition sur ce site, les dirhams marocains (MAD) ne sont pas librement convertibles et l'importation et l'exportation de cette devise en billets de banque n'est autorisée que dans la limite d'un montant de 2'000 dirhams (le taux de change actuel étant de 10 MAD pour 1 CHF environ). Les résidents marocains ont néanmoins le droit d'obtenir une dotation en devises d’un montant maximum de 40'000 dirhams par année civile ("dotation touristique"). Une telle dotation peut en outre être cumulée, à l'occasion d'un même voyage, avec toute autre dotation en devises accordée dans le cadre d'une autorisation générale ou particulière de l'Office des changes marocain. Dans le cadre de la procédure de première instance, l'Ambassade de Suisse au Maroc a confirmé à l'autorité intimée que des transferts de fonds vers la Suisse étaient envisageables moyennant l'autorisation préalable de l'Office des changes. Elle a précisé qu'une telle autorisation avait déjà été délivrée par le passé. Ainsi, les recourants ne sauraient justifier leur silence quant à l'existence d'un compte bancaire au Maroc par le fait qu'ils ne pouvaient pas, à leur connaissance, disposer librement de l'argent présent sur celui-ci. Ils auraient dû s'enquérir des possibilités d'accéder à cet avoir, en gardant à l'esprit qu'il appartient aux bénéficiaires de l'aide sociale d'entreprendre toutes démarches utiles pour éviter ou limiter leur prise en charge financière (cf. art. 3 al. 2 LASV). Le fait que l'argent de la recourante ait en partie servi à entretenir sa mère et à payer certaines dettes au Maroc n'est pas déterminant à cet égard, le champ d'application de la LASV ne visant nullement de tels cas de figure (cf. notamment art. 4 al. 1 et 31 al. 1 LASV a contrario ). Cette situation démontre de plus que l'intéressée a en réalité pu bénéficier d'une partie des montants qui lui ont été versés. b) En tout état de cause, depuis qu'ils ont commencé à bénéficier du RI, l'attention des recourants a été attirée à de nombreuses reprises sur leur devoir de renseigner l'autorité sur leur situation économique. Les formulaires de demande d'aide qu'ils ont signés les</w:t>
      </w:r>
    </w:p>
    <w:p>
      <w:r>
        <w:rPr>
          <w:b/>
        </w:rPr>
        <w:t>E. 9</w:t>
      </w:r>
    </w:p>
    <w:p>
      <w:r>
        <w:t>janvier 2009, 5 février 2010 et 1 er février 2016 les rappelaient tous à leur obligation de déclarer leurs revenus et leur fortune et d'informer immédiatement le CSR de tout changement de leur situation financière, grâce en particulier à la perception de salaires, d'une rente ou d'une part de succession. Les déclarations de revenus qu'ils ont produites chaque mois les rendaient également attentifs au fait qu'ils étaient tenus de signaler sans délai tout nouvel élément de revenu ou de fortune. Les recourants ont eu des contacts réguliers avec le CSR de 2008 à 2016, sans jamais faire état des pensions et de la part d'héritage qui avaient été versées à la recourante. Ce n'est que dans le cadre de leur dernière demande de RI du 1 er février 2016 qu'ils ont mentionné l'existence d'un compte bancaire au Maroc. En ne déclarant pas leurs avoirs au CSR, les recourants ont violé leur devoir de renseigner. Dans ces conditions, leur bonne foi ne saurait être admise. L'obligation de rembourser l'intégralité des montants de RI perçus en sus des pensions de retraite et de la part successorale de la recourante doit dès lors être confirmée, sans qu'il soit nécessaire d'examiner si et dans quelle mesure un tel remboursement mettrait les recourants dans une position difficile; leur situation financière pourra en revanche être prise en considération aux fins de déterminer les modalités de remboursement qui seront mises en place. 6. Le dispositif de la décision attaquée, qui exige la restitution d'une somme de 28'122 fr. 90, ne concorde pas avec les considérants qui font état, en page 20, d'un indu de 29'132 fr. 25, issu de l'addition des différents montants perçus à tort par les recourants depuis 2008. Le 14 août 2019, le CSR a attiré l'attention de l'autorité intimée sur le fait qu'elle avait inversé des chiffres dans son calcul, en retenant un indu de 653 fr. 20 au lieu de 635 fr. 20 pour l'année 2011 et un indu de 3'492 fr. 10 au lieu de 3'942 fr.</w:t>
      </w:r>
    </w:p>
    <w:p>
      <w:r>
        <w:rPr>
          <w:b/>
        </w:rPr>
        <w:t>E. 10</w:t>
      </w:r>
    </w:p>
    <w:p>
      <w:r>
        <w:t>pour le mois de novembre 2013, et qu'un montant de 432 fr. avait ainsi été soustrait de la somme totale à rembourser, en faveur des recourants. Dans sa réponse sur le recours, l'autorité intimée a indiqué que cette erreur faisait suite à une inadvertance et elle a demandé la correction du dispositif de sa décision. A aucun moment, les recourants n'ont manifesté leur désaccord avec ce qui précède. Dans ces circonstances, il convient de confirmer la décision attaquée tout en procédant à la rectification requise, le montant à restituer étant arrêté à 28'554 fr. 90 (28'122 fr. 90 + 432 fr.) au lieu de 28'122 fr. 90. 7. Les considérants qui précèdent conduisent au rejet du recours et à la confirmation de la décision attaquée. Le présent arrêt sera rendu sans frais (art. 4 al. 3 du tarif des frais judiciaires et des dépens en matière administrative du 28 avril 2015, TFJDA; BLV 173.36.5.1). Il n'y a pas lieu d'allouer des dépens (art. 55 al. 1 LPA-VD). Les recourants ont requis l'assistance d'un conseil d'office. Selon l'art. 18 al. 2 LPA-VD, la désignation d'un avocat d'office ne peut intervenir que " si les circonstances de la cause le justifient ", ce qui nécessite de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130 I 180 consid. 2.2; TF 1C_215/2018 du 22 mai 2018 consid. 5). La nécessité de désigner un avocat d'office doit être examinée avec retenue dans le domaine de l'aide sociale, où il s'agit généralement de prendre en considération avant tout des situations personnelles (TF 8C_623/2014 du 3 novembre 2015 consid. 7.2). Les critères à la nomination d'un défenseur d'office doivent en outre être appliqués de manière plus sévère dans le cadre d'une procédure régie par les maximes d'office et inquisitoriale (ATF 122 I 8 consid. 2c; 119 Ia 264 consid. 4c). En l'espèce, la contestation porte sur la restitution de prestations du RI qui ont été indûment perçues par les recourants. Or, l a cause ne présente pas de complexité particulière nécessitant objectivement de désigner un avocat d'office. Après avoir pris connaissance de la décision attaquée, les recourants auraient dû être en mesure de faire valoir seuls leurs griefs dans la présente procédure, ceux-ci relevant pour l'essentiel de l'établissement des faits. Il se justifie par conséquent de rejeter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