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PS.2018.0050 vom 15. Januar 2019</w:t>
      </w:r>
    </w:p>
    <w:p>
      <w:r>
        <w:t>VD Tribunal cantonal, 2019-01-15, FR</w:t>
      </w:r>
    </w:p>
    <w:p>
      <w:r>
        <w:rPr>
          <w:b/>
        </w:rPr>
        <w:t xml:space="preserve">Quelle: </w:t>
      </w:r>
      <w:r>
        <w:t>https://mcp.opencaselaw.ch/entscheid/vd_omni_PS.2018.0050</w:t>
      </w:r>
    </w:p>
    <w:p>
      <w:r>
        <w:t>FR: VD_OMNI PS.2018.0050 du 15 janvier 2019</w:t>
      </w:r>
    </w:p>
    <w:p>
      <w:r>
        <w:t>IT: VD_OMNI PS.2018.0050 del 15 gennaio 2019</w:t>
      </w:r>
    </w:p>
    <w:p>
      <w:pPr>
        <w:pStyle w:val="Heading2"/>
      </w:pPr>
      <w:r>
        <w:t>Regeste</w:t>
      </w:r>
    </w:p>
    <w:p>
      <w:r>
        <w:t>A.________/Service de prévoyance et d'aide sociales, Centre social régional de l'Ouest-Lausannois | Recours interjeté par l'ex-épouse bénéficiaire du RI contre la décision du SPAS confirmant une sanction appliquée sur le forfait d'entretien du ménage. C'est à tort que la recourante se prévaut de sa séparation et de son divorce de son ex-époux pour se distancer des activités lucratives exercées par celui-ci alors que la famille bénéficiait du RI. A l'époque des faits, la recourante était mariée et faisait ménage commun avec son époux. Ses déclarations faites devant la police tendent à démontrer qu'elle connaissait les activités menées par son mari. Or l'exercice d'une activité lucrative par un membre du ménage doit impérativement être annoncée au CSR, de manière à ce que le RI de la famille puisse être recalculé. La recourante a failli à son obligation de renseigner (art. 38 LASV). La sanction prononcée consistant à réduire le forfait d'entretien du ménage de 15% durant six mois est proportionnée, seule la part dévolue aux enfants mineurs devant être épargnée (art. 45 RLASV).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Les considérants qui précèdent conduisent au rejet du recours et à la confirmation de la décision attaquée. Le présent arrêt est rendu sans frais (cf. art. 4 du tarif des frais judiciaires et des dépens en matière administrative du 28 avril 2015 [ TFJDA; BLV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