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PS.2018.0033 vom 6. Dezember 2018</w:t>
      </w:r>
    </w:p>
    <w:p>
      <w:r>
        <w:t>VD Tribunal cantonal, 2018-12-06, FR</w:t>
      </w:r>
    </w:p>
    <w:p>
      <w:r>
        <w:rPr>
          <w:b/>
        </w:rPr>
        <w:t xml:space="preserve">Quelle: </w:t>
      </w:r>
      <w:r>
        <w:t>https://mcp.opencaselaw.ch/entscheid/vd_omni_PS.2018.0033</w:t>
      </w:r>
    </w:p>
    <w:p>
      <w:r>
        <w:t>FR: VD_OMNI PS.2018.0033 du 6 décembre 2018</w:t>
      </w:r>
    </w:p>
    <w:p>
      <w:r>
        <w:t>IT: VD_OMNI PS.2018.0033 del 6 dicembre 2018</w:t>
      </w:r>
    </w:p>
    <w:p>
      <w:pPr>
        <w:pStyle w:val="Heading2"/>
      </w:pPr>
      <w:r>
        <w:t>Regeste</w:t>
      </w:r>
    </w:p>
    <w:p>
      <w:r>
        <w:t>A.________/Service de prévoyance et d'aide sociales, Centre social régional de ******** | Ristournes de chauffage non déclarées au CSR. Confirmation de l'obligation de rembourser le montant indûment perçu. Le recourant a failli à son devoir de renseigner et ne peut pas se prévaloir de sa bonne foi. Une compensation avec les prestations futures s’inscrit dans le cadre légal. Pas de preuve que le CSR ferait preuve d’acharnement à l’encontre du recourant et que la décision querellée viserait uniquement à lui causer du tort. Recours rejeté. Recours au TF déclaré irrecevable (arrêt 8C_869/2018 du 17 février 2019).</w:t>
      </w:r>
    </w:p>
    <w:p>
      <w:pPr>
        <w:pStyle w:val="Heading2"/>
      </w:pPr>
      <w:r>
        <w:t>Erwägungen</w:t>
      </w:r>
    </w:p>
    <w:p>
      <w:r>
        <w:rPr>
          <w:b/>
        </w:rPr>
        <w:t>E. 1</w:t>
      </w:r>
    </w:p>
    <w:p>
      <w:r>
        <w:t>Le litige porte sur la restitution d’un montant de 1'347 fr. que le recourant a indûment perçu au titre du RI, après avoir omis d’annoncer des ristournes de chauffage dans ses déclarations de revenus des mois d’avril 2016 et de mars 2017.</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la prévention, l’appui social et le RI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prestation financière que recouvre le RI est composée d'un montant forfaitaire pour l'entretien, d'un montant forfaitaire destiné à couvrir les frais particuliers pour les adultes et d'un supplément correspondant au loyer effectif, dans les limites fixées par le règlement d'application du 26 octobre 2005 de la LASV (RLASV; RSV 850.051.1); elle est accordée dans les limites d’un barème établi par ce règlement, après déduction des ressources du requérant, de son conjoint ou partenaire enregistré ou de la personne qui mène de fait une vie de couple avec lui et de ses enfants mineurs à charge (art. 31 al. 1 et 2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Selon l’art. 38 LASV, la personne qui sollicite une prestation financière ou qui en bénéficie déjà fournit des renseignements complets sur sa situation personnelle et financière (al. 1) et signale sans retard tout changement de sa situation pouvant entraîner la réduction ou la suppression de ladite prestation (al. 4). Cette disposition est concrétisée par l’art. 29 al. 1 RLASV, aux termes duquel chaque membre du ménage aidé ou son représentant légal doit déclarer sans délai à l'autorité d'application tout fait nouveau de nature à modifier le montant des prestations allouées ou à justifier leur suppression. Constituent notamment des faits nouveaux les variations concernant le revenu des personnes vivant dans le ménage (art. 29 al. 2 let. f RLASV). L’art. 41 al. 1 let. a LASV prévoit enfin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b) En l’espèce, le recourant a reçu de sa gérance un montant de 606 fr. 45, le 4 avril 2016, et un montant de 740 fr. 55, le 10 mars 2017, en remboursement d’acomptes de charges qu’il avait versés en trop. Dans la mesure où les charges liées à son appartement ont été entièrement payées par le CSR pendant la période considérée, le remboursement obtenu constitue une ressource au sens de l’art. 31 LASV, qui doit être portée en déduction du montant forfaitaire alloué au titre de RI (cf. en ce sens arrêts PS.2017.0090 du 19 décembre 2017 consid. 1c; PS.2012.0020 du 9 juillet 2012 consid. 2b; PS.2011.0004 du 3 juin 2011 consid. 2b; PS.2010.0052 du 27 janvier 2011 consid. 3c et 4b; cf. aussi point 1.2.2.8 des Normes RI 2014 édictées par le Département de la santé et de l'action sociale, version 12.1, dans leur teneur au 1 er février 2017). Ainsi, l e recourant aurait dû annoncer les ristournes de chauffage au CSR immédiatement après les avoir reçues, conformément aux art. 38 al. 1 et 4 LASV et 29 RLASV, de manière à ce qu’elles eussent été déduites des prestations qui lui ont été allouées par la suite. Le recourant ne peut être suivi quand il affirme qu’il a toujours correctement déclaré les ristournes de chauffage qu’il a reçues au moyen d’une mention apposée sur le relevé de compte correspondant, et que le CSR avait donc connaissance des montants litigieux. Le fait de se contenter de produire les extraits bancaires attestant d’une variation de revenu est loin d’être suffisant. En réalité, il incombait au recourant de reporter les sommes reçues dans sa déclaration de revenus mensuelle de façon à attirer l’attention de l’autorité à ce sujet. Il ne pouvait l’ignorer. Le formulaire de déclaration comporte en effet une partie dédiée aux revenus pour le mois en cours, avec une rubrique " Autre(s) revenu(s) " qui concerne spécialement les " ristournes de chauffage ", entre autres. La teneur des art. 38 al. 1 LASV et 29 al. 1 RLASV est au demeurant rappelée dans ce document, si bien que le recourant a été rendu attentif à son devoir de signaler sans délai toute ressource supplémentaire tous les mois, chaque fois qu’il remplissait ce document destiné au CSR. En ne s’exécutant pas, il a failli à son obligation de renseigner. Par ailleurs, le recourant ne saurait invoquer le fait que le CSR lui a restitué le montant de 606 fr. 45 au mois de juin 2016 pour tenir compte de sa situation financière, et qu’il n’a établi aucun plan de recouvrement par la suite. Le CSR n’a jamais indiqué qu’il renonçait à la restitution de cet indu. De plus, le recourant a ensuite négligé d’annoncer la ristourne de chauffage qu’il a reçue en mars 2017, alors même que l’autorité l’avait personnellement rendu attentif à son devoir de renseigner dans un courrier du 27 mai 2016 qui faisait suite à son premier manquement. Elle lui a encore rappelé ce devoir dans une lettre du 30 mars 2017. Dans ces circonstances, le recourant n’est pas habilité à se prévaloir de sa bonne foi et, partant, de sa situation financière difficile pour bénéficier d'une remise en application de l'art. 41 al. 1 let. a LASV. En conclusion, le recourant n'a pas annoncé des ressources qui auraient dû être portées en diminution des prestations du RI à hauteur de 1'347 francs. C’est dès lors à juste titre que le SPAS a confirmé la décision du CSR lui réclamant le remboursement de ce montant indûment perçu. La décision attaquée doit déjà être confirmée sur ce point.</w:t>
      </w:r>
    </w:p>
    <w:p>
      <w:r>
        <w:rPr>
          <w:b/>
        </w:rPr>
        <w:t>E. 3</w:t>
      </w:r>
    </w:p>
    <w:p>
      <w:r>
        <w:t>Le CSR a considéré qu’un montant de 15 % devrait être prélevé chaque mois sur le forfait RI du recourant, aussi longtemps qu’il bénéficierait de l’aide sociale et jusqu’à extinction de la dette de 1'347 francs. a) L'autorité compétente peut compenser les montants indûment perçus avec les prestations futures en prélevant chaque mois sur le forfait d’entretien un montant équivalant à 15 % de la prestation financière si l’indu est inférieur ou égal à 20'000 fr. et à 25 % s’il est supérieur à 20'000 francs. Dans tous les cas, le prélèvement ne peut porter atteinte au minimum vital absolu destiné à couvrir les besoins essentiels et vitaux (art. 43a LASV et art. 31a al. 1 RLASV). b) La décision entreprise, qui prévoit une compensation du montant indûment perçu avec les prestations futures au moyen du prélèvement de 15 % du forfait RI, s'inscrit dans le cadre de l'art. 43a LASV et doit donc également être confirmée sur ce point. Le recourant n’allègue pas qu’une telle retenue entamerait son minimum vital et aucun élément au dossier ne permet de penser que tel serait le cas.</w:t>
      </w:r>
    </w:p>
    <w:p>
      <w:r>
        <w:rPr>
          <w:b/>
        </w:rPr>
        <w:t>E. 4</w:t>
      </w:r>
    </w:p>
    <w:p>
      <w:r>
        <w:t>Le recourant soutient que le CSR ferait preuve d’acharnement à son encontre. Il se prévaut en particulier d’un épisode du mois de mars 2017, lors duquel le CSR aurait tenu des propos erronés à son sujet, qui l’auraient desservi auprès de l’association qui l’accueillait pour un stage de réinsertion professionnelle. Cette argumentation n'est pas soutenable. On ne voit pas en effet quel est le lien entre la situation décrite ci-dessus et l’obligation de rembourser qui a été reconnue par le CSR. On a vu en outre que le recourant n’a pas respecté son devoir de renseigner l’autorité sur sa situation financière et que la décision attaquée sanctionne à juste titre ce manquement. Le CSR avait de plus attiré une première fois l’attention du recourant sur son obligation de lui annoncer toutes ses ressources, en mai 2016, puis avait renoncé par la suite à exiger le remboursement du montant indûment perçu pour tenir compte de sa situation financière. Dans ces circonstances, on ne saurait considérer que le CSR ferait preuve d’acharnement vis-à-vis du recourant et que la décision querellée aurait été prise dans le seul but de lui causer du tort.</w:t>
      </w:r>
    </w:p>
    <w:p>
      <w:r>
        <w:rPr>
          <w:b/>
        </w:rPr>
        <w:t>E. 5</w:t>
      </w:r>
    </w:p>
    <w:p>
      <w:r>
        <w:t>Il résulte des considérants qui précèdent que le recours doit être rejeté et la décision attaquée confirmée. L'arrêt est rendu sans frais (art. 4 al. 3 du tarif du 28 avril 2015 des frais judiciaires et des dépens en matière administrative [TFJDA; RSV 173.36.5.1]) et il n'est pas alloué de dépens ( art.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