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PS.2018.0014 vom 30. Mai 2018</w:t>
      </w:r>
    </w:p>
    <w:p>
      <w:r>
        <w:t>VD Tribunal cantonal, 2018-05-30, FR</w:t>
      </w:r>
    </w:p>
    <w:p>
      <w:r>
        <w:rPr>
          <w:b/>
        </w:rPr>
        <w:t xml:space="preserve">Quelle: </w:t>
      </w:r>
      <w:r>
        <w:t>https://mcp.opencaselaw.ch/entscheid/vd_omni_PS.2018.0014</w:t>
      </w:r>
    </w:p>
    <w:p>
      <w:r>
        <w:t>FR: VD_OMNI PS.2018.0014 du 30 mai 2018</w:t>
      </w:r>
    </w:p>
    <w:p>
      <w:r>
        <w:t>IT: VD_OMNI PS.2018.0014 del 30 maggio 2018</w:t>
      </w:r>
    </w:p>
    <w:p>
      <w:pPr>
        <w:pStyle w:val="Heading2"/>
      </w:pPr>
      <w:r>
        <w:t>Regeste</w:t>
      </w:r>
    </w:p>
    <w:p>
      <w:r>
        <w:t>A.________/Service de l'emploi (SDE), Centre social régional de ********, Office régional de placement de ******** | Le recours formé devant elle n'étant pas signé et le vice formel n'ayant pas été réparé malgré l'invitation faite en ce sens à la recourante, c'est à juste titre que l'autorité inférieure a déclaré celui-ci irrecevable et rayé la cause du rôle.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Régularisé par son auteur dans le délai imparti (cf. art. 27 al. 5, 1 ère phrase, LPA-VD), il satisfait également aux conditions formelles énoncées par l'art. 79 LPA-VD. Il importe peu à cet égard que la décision attaquée, du 11 janvier 2018, n’ait pas été produite, dans la mesure où celle-ci est contenue dans le dossier de l’autorité intimée (v. dans ce sens, arrêt PS.2016.0049 du 16 septembre 2016). Il y a donc lieu d'entrer en matière.</w:t>
      </w:r>
    </w:p>
    <w:p>
      <w:r>
        <w:rPr>
          <w:b/>
        </w:rPr>
        <w:t>E. 2</w:t>
      </w:r>
    </w:p>
    <w:p>
      <w:r>
        <w:t>L’autorité intimée a rayé la cause du rôle au motif que l’acte de recours, non signé, n’avait pas été régularisé par son auteur dans le délai qui lui avait été imparti.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ème édition, Berne 2011,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(arrêt 1C_39/2013 du 11 mars 2013 consid. 2.3, références citées; cf. Moor/Poltier, n°5.8.1.5 p. 808). b) En la présente espèce, la décision du 22 novembre 2017 de l’ORP******** a été prise en application de l’art. 23b de la loi cantonale du 5 juillet 2005 sur l’emploi (LEmp; RSV 822.11); cette disposition fait partie du Chapitre III (Revenu d’insertion – Insertion professionnelle) du Titre II de la loi. Dès lors, vu l’art. 84 LEmp, cette décision pouvait faire l’objet d’un recours au SDE (al. 1), la LPA-VD étant applicable (al. 3). Les exigences de forme du recours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(al. 5, 1 ère phrase). Les écrits qui ne sont pas produits à nouveau dans ce délai, ou dont les vices ne sont pas corrigés, sont réputés retirés (ibid., 2 ème phrase). L'autorité informe les auteurs de ces conséquences (ibid., 3 ème phrase). c) Le 30 novembre 2017, la recourante a saisi l’autorité intimée d’un acte de recours contre la décision du 22 novembre 2017. Dépourvu de signature, cet acte ne respectait pas l’exigence de forme prescrite à l’art. 79 al. 1, 1 ère phrase, LPA-VD. Conformément à l’art. 27 al. 4 et 5, 1 ère phrase, LPA-VD, l’autorité intimée a retourné l’acte non signé à la recourante, le 6 décembre 2017, en lui impartissant un délai au 20 décembre 2017 pour régulariser celui-ci. Comme l’exige l’art. 27 al. 5, 2 ème et 3 ème phrases, LPA-VD, l’autorité intimée a expressément indiqué à la recourante que sans nouvelles de sa part dans ce délai, elle considérerait son recours comme étant retiré. La recourante n’a donné aucune suite à cet avis, dont le contenu était pourtant dépourvu de toute ambiguïté. Sans doute, elle estimait, selon ses explications, inutile de régulariser cet acte du moment où son inscription avait, entre-temps, été radiée du système PLASTA. Si l’on suit toutefois les explications de la recourante, son recours n’avait dès lors plus aucun objet. Quoi qu’il en soit, ces explications ne sont pas de nature à la dispenser de l’obligation de signer son acte de recours. d) Par conséquent, le vice dont l’acte du 30 novembre 2017 était entaché n’a pas été réparé malgré l’invitation faite en ce sens par l’autorité intimée. Dans ces conditions, l’autorité intimée n’a pas fait preuve en la présente circonstance d’un formalisme excessif en considérant le recours comme étant réputé retiré et c’est à bon droit qu’elle a rayé la cause du rôle, sans frais.</w:t>
      </w:r>
    </w:p>
    <w:p>
      <w:r>
        <w:rPr>
          <w:b/>
        </w:rPr>
        <w:t>E. 3</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