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PS.2018.0010 vom 22. November 2018</w:t>
      </w:r>
    </w:p>
    <w:p>
      <w:r>
        <w:t>VD Tribunal cantonal, 2018-11-22, FR</w:t>
      </w:r>
    </w:p>
    <w:p>
      <w:r>
        <w:rPr>
          <w:b/>
        </w:rPr>
        <w:t xml:space="preserve">Quelle: </w:t>
      </w:r>
      <w:r>
        <w:t>https://mcp.opencaselaw.ch/entscheid/vd_omni_PS.2018.0010</w:t>
      </w:r>
    </w:p>
    <w:p>
      <w:r>
        <w:t>FR: VD_OMNI PS.2018.0010 du 22 novembre 2018</w:t>
      </w:r>
    </w:p>
    <w:p>
      <w:r>
        <w:t>IT: VD_OMNI PS.2018.0010 del 22 novembre 2018</w:t>
      </w:r>
    </w:p>
    <w:p>
      <w:pPr>
        <w:pStyle w:val="Heading2"/>
      </w:pPr>
      <w:r>
        <w:t>Regeste</w:t>
      </w:r>
    </w:p>
    <w:p>
      <w:r>
        <w:t>A._________/Service de prévoyance et d'aide sociales, Centre social régional de l'Ouest-Lausannois | Recours d'un bénéficiaire du RI contre une décision de restitution de l'indu confirmée sur recours par le SPAS. Le recourant n'a pas respecté son devoir de collaboration dans la mesure où il n'a pas répondu aux trois courriers du CSR lui demandant des informations sur l'hébergement temporaire d'un compatriote espagnol dans son appartement. Cela étant, le recourant a été placé sous curatelle de portée générale (art. 398 CC) quelques mois après avoir reçu les demandes de renseignements du CSR. La question de savoir s'il disposait de la capacité de discernement lui permettant de répondre aux courriers peut être laissée ouverte. Les conditions de restitution des prestations versées au recourant ne sont pas réunies. Il ne suffit pas pour l'autorité de constater que le recourant a violé son devoir de collaboration pour retenir qu'il a indûment perçu le RI. Il faut encore qu'il y ait à tout le moins des indices que le bénéficiaire a dissimulé des revenus et ne remplissait ainsi pas les conditions d'octroi des prestations. En l'occurrence, aucun indice ne tend à démontrer que le recourant a réalisé un revenu de sa cohabitation avec son compatriote. Recours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Ayant été régularisé dans le délai imparti par le juge instructeur à cet effet, il satisfait également aux conditions formelles énoncées par l'art. 79 LPA-VD. Eu égard au fait qu'une curatelle de portée générale selon l'art. 398 du Code civil suisse du 10 décembre 1907 (CC; RS 210) a été instituée en faveur du recourant, ce dernier ne peut ester personnellement en justice (cf. art. 12, 17, 19, 398 al. 2 et 3 CC et 67 du Code de procédure civile du 19 décembre 2008 [CPC; RS 272]). Dès lors que sa curatrice a mandaté un avocat afin de représenter le recourant dans le cadre de cette procédure, et que cet avocat a régularisé l'écrit du recourant du 22 janvier 2018 dans le délai de recours, il y a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Les considérants qui précèdent conduisent à l'admission du recours et à la réforme de la décision attaquée en ce sens que le recours interjeté contre la décision du CSR du 30 avril 2015 est admis et que la décision du CSR est annulée. Le présent arrêt est rendu sans frais (cf. art. 4 al. 3 du tarif des frais judiciaires et des dépens en matière administrative, du 28 avril 2015 [TFJDA; RSV 173.36.5.1]). Le recourant, qui obtient gain de cause avec le concours d'un avocat, a droit à des dépens d'un montant de 1'500 fr. (art. 55 al. 1, 91 et 99 LPA-VD), mis à la charge de l'Etat de Vaud, par l'intermédiaire du service intimé (art. 55 al. 2 LPA-VD; art. 10 et 11 TFJDA). Comme il n'y a aucun risque que ces dépens ne puissent être recouvrés, il n'est pas nécessaire d'arrêter, à titre subsidiaire, l'indemnité qui aurait dû être versée au conseil d'office (art. 4 al. 1 du règlement vaudois du 7 décembre 2010 sur l'assistance judiciaire en matière civile – RAJ; RSV 211.02.3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