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PS.2017.0111 vom 5. Februar 2018</w:t>
      </w:r>
    </w:p>
    <w:p>
      <w:r>
        <w:t>VD Tribunal cantonal, 2018-02-05, FR</w:t>
      </w:r>
    </w:p>
    <w:p>
      <w:r>
        <w:rPr>
          <w:b/>
        </w:rPr>
        <w:t xml:space="preserve">Quelle: </w:t>
      </w:r>
      <w:r>
        <w:t>https://mcp.opencaselaw.ch/entscheid/vd_omni_PS.2017.0111</w:t>
      </w:r>
    </w:p>
    <w:p>
      <w:r>
        <w:t>FR: VD_OMNI PS.2017.0111 du 5 février 2018</w:t>
      </w:r>
    </w:p>
    <w:p>
      <w:r>
        <w:t>IT: VD_OMNI PS.2017.0111 del 5 febbraio 2018</w:t>
      </w:r>
    </w:p>
    <w:p>
      <w:pPr>
        <w:pStyle w:val="Heading2"/>
      </w:pPr>
      <w:r>
        <w:t>Regeste</w:t>
      </w:r>
    </w:p>
    <w:p>
      <w:r>
        <w:t>A.________/Service de prévoyance et d'aide sociales, Centre social régional de Lausanne Service social Lausanne | Prise en compte au titre de fortune de la valeur d'un chalet de montagne dont un bénéficiaire du RI a hérité en république tchèque. Décision du CSR, non contestée, ordonnant à l'intéressé la mise en vente de l'immeuble et l'informant que le RI lui sera encore versé pendant une période de 6 mois au maximum. Décision de suppression du RI et de remboursement des prestations rendue par le CSR dès lors que l'intéressé n'a pas mis en vente son bien immobilier et n'a présenté aucun justificatif ou démarche pour la vente du bien. Recours au SPAS dans lequel le recourant explique notamment que sa tante (copropriétaire) s'oppose à la vente de l'immeuble, qu'elle ne veut pas elle même acheter sa part et que, renseigements pris en Tchéquie, il n'existe aucun intérêt d'acquéreurs potentiels pour l'achat de sa part de copropriété dans ces conditions. Demandes du SPAS que le recourant fasse procéder à la traduction de pièces du dossier en langue tchèque et qu'il produise "toutes pièces attestant de son bien immobilier sis en république tchèque". Demandes restées sans suite. Admission partielle du recours par le SPAS, qui confirme la suppression du RI et réforme la décision du CSR en tant qu'elle concerne la restitution de l'aide. Constat que l'immeuble devrait en principe être réalisé. Toutefois, vu la situation de blocage créée par l'autre copropriétaire, l'aliénation de la part de copropriété du recourant n'apparaît pas raisonnablement exigible. La décision attaquée viole par conséquent le principe de la proportionnalité et le droit à obtenir de l'aide dans des situations de détresse. Vu la situation financière du recourant, on ne saurait au surplus retenir un défaut de collaboration au motif qu'il n'a pas fait traduire certains documents su dosssier. Recours admis.</w:t>
      </w:r>
    </w:p>
    <w:p>
      <w:pPr>
        <w:pStyle w:val="Heading2"/>
      </w:pPr>
      <w:r>
        <w:t>Erwägungen</w:t>
      </w:r>
    </w:p>
    <w:p>
      <w:r>
        <w:rPr>
          <w:b/>
        </w:rPr>
        <w:t>E. 1</w:t>
      </w:r>
    </w:p>
    <w:p>
      <w:r>
        <w:t>Les autorités d'aide sociale refusent au recourant le bénéfice du RI, au motif qu'il est propriétaire d'une maison en République tchèque, qu'il lui appartient de vendre avant de recourir à l'aide sociale.</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Selon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L'art. 18 du règlement d'application du 26 octobre 2005 de la LASV (RLASV; RSV 850.051.1) prévoit que le RI peut être accordé lorsque le patrimoine du requérant, de son conjoint, de son partenaire enregistré ou concubin comprend des actifs n'excédant pas les limites de fortune prévues par la Conférence suisse des institutions d'action sociale (ci-après: CSIAS), à savoir, en particulier, 4'000 fr. pour une personne seule.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lorsque l'une ou l'autre de quatre conditions sont réunies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le SPAS détermine dans chaque situation s'il y a lieu de grever l'immeuble d'un gage au profit de l'Etat afin de garantir le remboursement des prestations avancées au titre du RI. S'agissant plus particulièrement de l'obligation de rembourser des prestations RI, l'art. 41 al. 1 LASV prévoit que la personne qui, dès la majorité, a obtenu des prestations du RI, y compris les frais particuliers ou aides exceptionnelles, est tenue au remboursement, lorsqu'elle a obtenu une aide lui permettant de subvenir à ses besoins dans l'attente de la réalisation de ses biens (let. b).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(arrêts PS.2015.0063 du 27 octobre 2015 consid. 3d/bb; PS.2015.0003 du 21 juillet 2015 consid. 2c). A contrario ,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PS.2015.0063 du 27 octobre 2015 consid. 3d/aa; PS.2015.0003 du 21 juillet 2015 consid. 2c; PS.2011.0001 du 20 avril 2010 consid. 2a; PS.2007.0025 du 10 décembre 2007 consid. 3a, PS.2006.0179 du 19 février 2007 consid. 4b/aa et les références citées). b) aa) D'après les normes CSIAS, valant recommandations,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bénéficiaire (E.2.2 inchangé depuis décembre 2008). bb) La commission "Questions juridiques" de la CSIAS a élaboré en décembre 2012 des recommandations plus précises, intitulées "Biens immobiliers en Suisse et à l'étranger".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 première possibilité, l'aliénation, il faut évaluer sous l'aspect de la proportionnalité, si cette mesure, en tant qu'atteinte plus massive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Les indices suivants (notamment) pourraient parler en faveur d'une exception et entraîner un examen plus approfondi de la proportionnalité: la personne bénéficiaire n'est soutenue que pour très peu de temps ou avec un montant relativement modeste; en raison d'une demande insuffisante du marché, le produit de l'aliénation serait dérisoire et l'on peut s'attendre à une rapide amélioration de la situation sur le marché (examiner la possibilité d'une hypothèque de sûreté); la mise en location ou une hypothèque de sûreté présente un meilleur rapport coûts/avantages; les éventuels propriétaires en commun – ou, en cas de bien immobilier familial, le conjoint – refusent le consentement à la vente (ch. 3). S'agissant de la deuxième possibilité, la mise en location, les motifs qui peuvent parler en défaveur d'une mise en location sont (notamment): l'immeuble n'est pas habitable; le bien immobilier est destiné à la vente et les efforts correspondants sont prouvés (ch. 4). Enfin, quant à la troisième possibilité, l'hypothèque de sûreté, ce gage est comparable à l'hypothèque bancaire, la différence résidant notamment dans le fait que ce n'est pas la banque qui est créditrice, mais l'aide sociale. Lorsque le remboursement devient exigible, l'aide sociale réclame le remboursement des prestations d'aide sociale effectivement fournies, selon le produit du bien immobilier. Lorsque la propriété immobilière est à l'étranger, "il faut déterminer, dans chaque cas individuel, si dans le pays du site, une mise en gage est possible et à quelles conditions". En règle générale, la constitution d'une hypothèque de sûreté respecte le principe de la proportionnalité. Les raisons parlant en défaveur d'une hypothèque de sûreté peuvent être (notamment) les suivantes: les biens immobiliers ne sont pas utilisés par le propriétaire lui-même (ils doivent en règle générale être vendus); le bien immobilier est sur le point d'être vendu (ch. 5). Pour le surplus, les recommandations de la commission relèvent que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 c) Dans sa version en vigueur dès le 1er juin 2014, la directive du SPAS intitulée "Directive sur la manière de prendre en considération la fortune immobilière des bénéficiaires du RI" indique: "4. BIENS IMMOBILIERS A L’ETRANGER 4.a) Valorisation des immeubles. Les immeubles situés à l'étranger sont valorisés à l'estimation fiscale retenue par les autorités fiscales vaudoises. Si cette valeur n'existe pas (l'immeuble n'est pas déclaré ou n'a pas encore fait l'objet d'une taxation), l'AA retiendra le prix d'achat, voire une éventuelle estimation officielle, ou à défaut d'élément factuel, l'estimation du bénéficiaire lui-même. En cas de difficulté, l'AA pourra s'adresser au SPAS (section AD-FIN) pour avis. L’annexe 14 liste une série de documents utiles à déterminer la valeur d’un bien immobilier sis à l’étranger (Annexe 14).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Vu ce qui précède, le recours doit être admis et les décisions attaquées être annulées. Le présent arrêt doit être rendu sans frais (cf. art. 4 al. 3 du tarif du 28 avril 2015 des frais judiciaires et des dépens en matière administrative [TFJDA; RSV 173.36.5.1). Il n'y a pas lieu d'allouer de dépens dès lors que le recourant n'a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