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PS.2017.0067 vom 14. September 2018</w:t>
      </w:r>
    </w:p>
    <w:p>
      <w:r>
        <w:t>VD Tribunal cantonal, 2018-09-14, FR</w:t>
      </w:r>
    </w:p>
    <w:p>
      <w:r>
        <w:rPr>
          <w:b/>
        </w:rPr>
        <w:t xml:space="preserve">Quelle: </w:t>
      </w:r>
      <w:r>
        <w:t>https://mcp.opencaselaw.ch/entscheid/vd_omni_PS.2017.0067</w:t>
      </w:r>
    </w:p>
    <w:p>
      <w:r>
        <w:t>FR: VD_OMNI PS.2017.0067 du 14 septembre 2018</w:t>
      </w:r>
    </w:p>
    <w:p>
      <w:r>
        <w:t>IT: VD_OMNI PS.2017.0067 del 14 settembre 2018</w:t>
      </w:r>
    </w:p>
    <w:p>
      <w:pPr>
        <w:pStyle w:val="Heading2"/>
      </w:pPr>
      <w:r>
        <w:t>Regeste</w:t>
      </w:r>
    </w:p>
    <w:p>
      <w:r>
        <w:t>A.________/Service de l'emploi, Instance juridique chômage, Office régional de placement de Morges (ORP), Centre social régional de Morges-Aubonne-Cossonay | Demandeuse d'emploi qui, sans être au bénéfice des prestations du RI ou de l'assurance-chômage, se trouve en suivi professionnel auprès de l'ORP. Recours de l'intéressée contre une décision du SDE confirmant une réduction de son forfait RI de l'ordre de 15% pendant une période de deux mois prononcée par l'ORP à titre de sanction pour avoir manqué un entretien avec sa conseillère. La recourante fait valoir qu'elle n'a pas pu se rendre à l'entretien en cause car elle avait repris une activité professionnelle quelques jours auparavant. Elle n'établit cependant pas qu'elle aurait informé l'ORP de sa reprise d'activité avant la date de l'entretien litigieux et demandé une annulation de ce dernier; or, elle avait largement le temps d'agir en ce sens depuis son engagement. Cela étant, en ne faisant pas preuve de la diligence que l'on pouvait attendre d'elle, la recourante a manqué à ses obligations à l'égard de l'ORP; c'est ainsi à juste titre que l'autorité a prononcé une sanction à son encontre (consid. 2). Au regard de l'ensemble des circonstances, l'autorité n'a pas fait un mauvais usage de son pouvoir d'appréciation en prononçant la réduction contestée, qui correspond au minimum légal (consid. 3). Rejet du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Il résulte des considérants qui précèdent que le recours doit être rejeté et la décision attaquée confirmée. L'arrêt est rendu sans frais (art. 49 al. 1, 91 et 99 LPA-VD; art. 4 al. 3 du Tarif du 28 avril 2015 des frais judiciaires et des dépens en matière administrative [TFJDA; RSV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