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PS.2017.0062 vom 16. März 2018</w:t>
      </w:r>
    </w:p>
    <w:p>
      <w:r>
        <w:t>VD Tribunal cantonal, 2018-03-16, FR</w:t>
      </w:r>
    </w:p>
    <w:p>
      <w:r>
        <w:rPr>
          <w:b/>
        </w:rPr>
        <w:t xml:space="preserve">Quelle: </w:t>
      </w:r>
      <w:r>
        <w:t>https://mcp.opencaselaw.ch/entscheid/vd_omni_PS.2017.0062</w:t>
      </w:r>
    </w:p>
    <w:p>
      <w:r>
        <w:t>FR: VD_OMNI PS.2017.0062 du 16 mars 2018</w:t>
      </w:r>
    </w:p>
    <w:p>
      <w:r>
        <w:t>IT: VD_OMNI PS.2017.0062 del 16 marzo 2018</w:t>
      </w:r>
    </w:p>
    <w:p>
      <w:pPr>
        <w:pStyle w:val="Heading2"/>
      </w:pPr>
      <w:r>
        <w:t>Regeste</w:t>
      </w:r>
    </w:p>
    <w:p>
      <w:r>
        <w:t>A.________ /Service de prévoyance et d'aide sociales, Centre social régional de l'Ouest-Lausannois | A juste titre, le SPAS a prononcé l'irrecevabilité d'un recours dirigé contre une décision du CSR au motif qu'il était tardif. Devant cette autorité, le recourant a certes produit la copie d'une lettre qui contestait la décision et qu'il disait avoir adressée dans le délai de recours au CSR, mais sans apporter la preuve qu'elle soit parvenue à son destinataire. Partant, le SPAS pouvait ne pas en tenir compte. Recours au TF irrecevable (8C_266/2018 du 28 mai 2018).</w:t>
      </w:r>
    </w:p>
    <w:p>
      <w:pPr>
        <w:pStyle w:val="Heading2"/>
      </w:pPr>
      <w:r>
        <w:t>Erwägungen</w:t>
      </w:r>
    </w:p>
    <w:p>
      <w:r>
        <w:rPr>
          <w:b/>
        </w:rPr>
        <w:t>E. 1</w:t>
      </w:r>
    </w:p>
    <w:p>
      <w:r>
        <w:t>a) La décision attaquée a trait à l’application de la loi cantonale du 2 décembre 2003 sur l’action sociale vaudoise (LASV; RSV 850.051), qui, à son article 74, 2 ème phrase, réserve l’application de la loi cantonale du 28 octobre 2008 sur la procédure administrative (LPA-VD ; RSV 173.36). Aux termes de l’art. 92 al. 1 LPA-VD, le Tribunal cantonal connaît des recours contre les décisions et décisions sur recours rendues par les autorités administratives, lorsque la loi ne prévoit aucune autre autorité pour en connaître. b) En l’espèce, le recours a été interjeté dans la forme (art. 79 al. 1 LPA-VD) et le délai (art. 95 LPA-VD) prescrits.</w:t>
      </w:r>
    </w:p>
    <w:p>
      <w:r>
        <w:rPr>
          <w:b/>
        </w:rPr>
        <w:t>E. 2</w:t>
      </w:r>
    </w:p>
    <w:p>
      <w:r>
        <w:t>c) Selon l’art. 79 LPA-VD, l’acte de recours doit être signé et indiquer les conclusions et motifs du recours (al. 1, 1 ère phrase). Le recourant ne peut pas prendre des conclusions qui sortent du cadre fixé par la décision attaquée (al. 2, 1 ère phrase). Il peut en revanche présenter des allégués et moyens de preuve qui n'ont pas été invoqués jusque là (al. 2, 2 ème phrase). Dans la décision attaquée, du</w:t>
      </w:r>
    </w:p>
    <w:p>
      <w:r>
        <w:rPr>
          <w:b/>
        </w:rPr>
        <w:t>E. 4</w:t>
      </w:r>
    </w:p>
    <w:p>
      <w:r>
        <w:t>Les considérants qui précèdent conduisent au rejet du recours et à la confirmation de la décision attaquée. Le présent arrêt est rendu sans frais (art. 4.3  du tarif des frais judiciaires et des dépens en matière administrative du 28 avril 2015 [TFJDA; RSV 173.36.5.1]).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