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PS.2017.0061 vom 30. Oktober 2017</w:t>
      </w:r>
    </w:p>
    <w:p>
      <w:r>
        <w:t>VD Tribunal cantonal, 2017-10-30, FR</w:t>
      </w:r>
    </w:p>
    <w:p>
      <w:r>
        <w:rPr>
          <w:b/>
        </w:rPr>
        <w:t xml:space="preserve">Quelle: </w:t>
      </w:r>
      <w:r>
        <w:t>https://mcp.opencaselaw.ch/entscheid/vd_omni_PS.2017.0061</w:t>
      </w:r>
    </w:p>
    <w:p>
      <w:r>
        <w:t>FR: VD_OMNI PS.2017.0061 du 30 octobre 2017</w:t>
      </w:r>
    </w:p>
    <w:p>
      <w:r>
        <w:t>IT: VD_OMNI PS.2017.0061 del 30 ottobre 2017</w:t>
      </w:r>
    </w:p>
    <w:p>
      <w:pPr>
        <w:pStyle w:val="Heading2"/>
      </w:pPr>
      <w:r>
        <w:t>Regeste</w:t>
      </w:r>
    </w:p>
    <w:p>
      <w:r>
        <w:t>A.________/Service de l'emploi, Instance juridique chômage, Office régional de placement | Recours d’un bénéficiaire du RI contre la décision de réduction de son forfait mensuel d’entretien de 15 % pendant 4 mois, au motif qu'il a abandonné une mesure cantonale d'insertion professionnelle. - Notion de mesure réputée convenable selon la jurisprudence (consid. 2a): En l'espèce, la mesure assignée au recourant tient raisonnablement compte de ses aptitudes, de l'activité qu'il a précédemment exercée, et de sa situation personnelle. - En mettant fin prématurément et unilatéralement à la mesure cantonale d'insertion professionnelle à laquelle il a été assigné, le recourant ne s'est pas conformé à ses devoirs envers l'ORP (faute grave). Sanction confirmée dans son principe et dans sa quotité.</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(PS.2015.0082 du 25 septembre 2015 et les références). Aussi, une sanction fixée dans le cadre de l'art. 12b al. 3 RLEmp ne porte pas atteinte au minimum vital. En l'espèce, la décision attaquée prononce une réduction de 15% du forfait mensuel d'entretien du RI pour une durée de quatre mois, ce qui est entre dans la fourchette fixée à l'art. 12b al. 3 RLEmp. Le refus d'une mesure cantonale d'insertion professionnelle (auquel peut être assimilé l'abandon d'une telle mesure) constitue une faute qui est en principe qualifiée de grave (PS.2015.0082 du 25 septembre 2015 consid. 2b et la référence citée). En l'occurrence, au vu du comportement du recourant, la sanction litigieuse ne prête pas le flanc à la critique. Elle doit également être confirmée dans sa quotité. 3. Les considérants qui précèdent conduisent au rejet du recours et à la confirmation de la décision attaquée. Le présent arrêt est rendu sans frais (art. 4 al. 3 du Tarif du 28 avril 2015 des frais judiciaires et des dépens en matière administrative [TFJDA; RSV 173.36.5.1]).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