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PS.2017.0026 vom 28. März 2018</w:t>
      </w:r>
    </w:p>
    <w:p>
      <w:r>
        <w:t>VD Tribunal cantonal, 2018-03-28, FR</w:t>
      </w:r>
    </w:p>
    <w:p>
      <w:r>
        <w:rPr>
          <w:b/>
        </w:rPr>
        <w:t xml:space="preserve">Quelle: </w:t>
      </w:r>
      <w:r>
        <w:t>https://mcp.opencaselaw.ch/entscheid/vd_omni_PS.2017.0026</w:t>
      </w:r>
    </w:p>
    <w:p>
      <w:r>
        <w:t>FR: VD_OMNI PS.2017.0026 du 28 mars 2018</w:t>
      </w:r>
    </w:p>
    <w:p>
      <w:r>
        <w:t>IT: VD_OMNI PS.2017.0026 del 28 marzo 2018</w:t>
      </w:r>
    </w:p>
    <w:p>
      <w:pPr>
        <w:pStyle w:val="Heading2"/>
      </w:pPr>
      <w:r>
        <w:t>Regeste</w:t>
      </w:r>
    </w:p>
    <w:p>
      <w:r>
        <w:t>A.________, B.________/Service de prévoyance et d'aide sociales, CSR Nyon-Rolle | Décision du CSR, confirmée par le SPAS, de restitution d'un montant indûment perçu et de réduction du forfait RI de 15% durant un mois à titre de sanction, au motif que les bénéficaires n'ont pas déclaré un montant qu'ils allèguent avoir reçu à titre de prêt d'un membre de leur famille. En l'occurrence, les recourants n'ont pas été à même de démontrer qu'il s'agissait effectivement d'un prêt. C'est donc à juste titre que le CSR et le SPAS ont considéré que le montant en question devait être considéré comme une ressource soumise à déduction du RI. A supposer qu'ils aient pu démontrer l'existence d'un prêt, le montant en cause n'en devrait pas moins être considéré comme une ressource soumise à déduction en application de la jurisprudence, sous réserve d'une déduction de 1'200 fr. selon l'art. 27 RLASV. La bonne foi des recourants ne pouvant être retenue, le remboursement du montant indûment perçu est confirmé. La sanction, correspondant au minimum prévu par l'art. 45 al. 1 let. b RLASV, n'est pas disproportionnée et est confirmée. Recours rejeté.</w:t>
      </w:r>
    </w:p>
    <w:p>
      <w:pPr>
        <w:pStyle w:val="Heading2"/>
      </w:pPr>
      <w:r>
        <w:t>Erwägungen</w:t>
      </w:r>
    </w:p>
    <w:p>
      <w:r>
        <w:rPr>
          <w:b/>
        </w:rPr>
        <w:t>E. 1</w:t>
      </w:r>
    </w:p>
    <w:p>
      <w:r>
        <w:t>Les recourants contestent que le montant de 9'322 fr. 30, perçu en décembre 2015, constituât un revenu non déclaré. Ils soutiennent qu'il s'agit d'un prêt familial qui a été remboursé en mars 2016, selon les instructions du CSR. Ils contestent devoir  restituer le montant de 3'454 fr. 90 pour le mois de décembre 2015, ainsi que la sanction consistant en la réduction de 15% du forfait RI durant un mois, prononcée à leur encontre.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revenu d'insertion (art. 1 al. 2 LASV). Cette prestation financière est accordée à toute personne qui se trouve dépourvue des moyens nécessaires pour satisfaire ses besoins vitaux et d'autres besoins personnels spécifiques importants (art. 34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A teneur de l'art. 32 LASV, le RI est versé selon les conditions de ressources prévues par la Conférence suisse des institutions d'action sociale (CSIAS). Les art. 26 et 27 du règlement d'application du 26 octobre 2005 de la LASV (RLASV; RSV 850.051.1) prévoient en outre ce qui suit: "Art. 26 Ressources (Art. 31 LASV)</w:t>
      </w:r>
    </w:p>
    <w:p>
      <w:r>
        <w:rPr>
          <w:b/>
        </w:rPr>
        <w:t>E. 2</w:t>
      </w:r>
    </w:p>
    <w:p>
      <w:r>
        <w:t>,</w:t>
      </w:r>
    </w:p>
    <w:p>
      <w:r>
        <w:rPr>
          <w:b/>
        </w:rPr>
        <w:t>E. 3</w:t>
      </w:r>
    </w:p>
    <w:p>
      <w:r>
        <w:t>,</w:t>
      </w:r>
    </w:p>
    <w:p>
      <w:r>
        <w:rPr>
          <w:b/>
        </w:rPr>
        <w:t>E. 4</w:t>
      </w:r>
    </w:p>
    <w:p>
      <w:r>
        <w:t>,</w:t>
      </w:r>
    </w:p>
    <w:p>
      <w:r>
        <w:rPr>
          <w:b/>
        </w:rPr>
        <w:t>E. 6</w:t>
      </w:r>
    </w:p>
    <w:p>
      <w:r>
        <w:t>mois pour les réductions de 25% ou 30% ; après examen de la situation, la mesure peut être reconduite ; c. ... d. réduire de 30% le forfait entretien du jeune adulte âgé de 18 à 25 ans, sans formation achevée et sans activité professionnelle lorsqu'il fait échec à la procédure mise en place par l'article 31a LASV nonobstant l'avertissement prévu à l'alinéa 5 de la disposition précitée. 2 La mesure prévue sous lettre a) ci-dessus peut être combinée avec la réduction du forfait prévue sous lettres b), ou d) ci-dessus. La réduction du forfait entretien ne touche pas la part affectée aux enfants mineurs à charge." Selon l'art. 42 al. 1 RLASV, l'autorité d'application peut réduire, voire supprimer le RI notamment lorsque le bénéficiaire ne signale pas des éléments de revenu ou de fortune qui dépassent les limites permettant de bénéficier du RI ou qui modifient le montant des prestations allouées. La réduction des prestations d'aide sociale a le caractère d'une sanction administrative et non d'une sanction pénale (cf. ATF 126 V 130 consid. 1, dans le domaine voisin de la suspension du droit à l'indemnité de chômage; PS.2014.0044 du 11 juin 2015 consid. 3b et PS.2014.0027 du 20 juin 2014 consid. 2b). La sanction doit ainsi être adaptée à la gravité de la faute. Pour en apprécier la quotité, l'autorité doit se fonder sur une appréciation globale de toutes les circonstances; à cet égard, il faut tenir compte de la personnalité et du comportement du bénéficiaire des prestations, de la gravité des manquements reprochés et de la situation de l'intéressé dans son ensemble (PS.2014.0044 précité, consid. 3b, et PS.2014.0027 précité, consid. 2b). En l'espèce, la faute des recourants n'est pas légère, dans la mesure où ils ont dissimulé un revenu important perçu au mois de décembre 2015. Comme admis ci-dessus (considérant 1), leur bonne foi ne saurait être admise à cet égard. La sanction infligée, à savoir la réduction du forfait RI de 15 % pour une durée d'un mois (la réduction s'appliquant uniquement sur la part du forfait qui concerne les adultes du ménage), correspond au minimum prévu par l'art. 45 al. 1 let. b RLASV. Cette sanction n'apparaît manifestement pas disproportionnée, compte tenu des circonstances, en particulier du comportement des recourants. La décision attaquée peut en conséquence être confirmée également sur sa quotité. 3. Fondé sur ce qui précède, le recours doit être rejeté et la décision entreprise confirmée. Il sera statué sans frais (art. 4 al. 3 du tarif du 28 avril 2015 des frais judiciaires et des dépens en matière administrative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