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PS.2016.0085 vom 22. März 2017</w:t>
      </w:r>
    </w:p>
    <w:p>
      <w:r>
        <w:t>VD Tribunal cantonal, 2017-03-22, FR</w:t>
      </w:r>
    </w:p>
    <w:p>
      <w:r>
        <w:rPr>
          <w:b/>
        </w:rPr>
        <w:t xml:space="preserve">Quelle: </w:t>
      </w:r>
      <w:r>
        <w:t>https://mcp.opencaselaw.ch/entscheid/vd_omni_PS.2016.0085</w:t>
      </w:r>
    </w:p>
    <w:p>
      <w:r>
        <w:t>FR: VD_OMNI PS.2016.0085 du 22 mars 2017</w:t>
      </w:r>
    </w:p>
    <w:p>
      <w:r>
        <w:t>IT: VD_OMNI PS.2016.0085 del 22 marzo 2017</w:t>
      </w:r>
    </w:p>
    <w:p>
      <w:pPr>
        <w:pStyle w:val="Heading2"/>
      </w:pPr>
      <w:r>
        <w:t>Regeste</w:t>
      </w:r>
    </w:p>
    <w:p>
      <w:r>
        <w:t>A.________/Municipalité de Morges | Confirmation de jurisprudence en matière d'aide individuelle au logement. Il est conforme au principe d'égalité de traitement de ne tenir compte de la présence d'un enfant mineur dans la composition du ménage que si le parent qui sollicite l'aide au logement bénéficie du droit de garde, un simple droit de visite n'étant pas suffisant. La réglementation cantonale ne permet pas de déroger aux critères posés par l'art. 17 RAIL au seul motif que le loyer de l'habitation sous-occupée serait inférieur au loyer maximum admissible fixé, pour un appartement de moindres dimensions, par l'arrêté du 5 septembre 2007 fixant le modèle cantonal pour l'octroi de l'aide individuelle au logement. Recours rejeté.</w:t>
      </w:r>
    </w:p>
    <w:p>
      <w:pPr>
        <w:pStyle w:val="Heading2"/>
      </w:pPr>
      <w:r>
        <w:t>Erwägungen</w:t>
      </w:r>
    </w:p>
    <w:p>
      <w:r>
        <w:rPr>
          <w:b/>
        </w:rPr>
        <w:t>E. 1</w:t>
      </w:r>
    </w:p>
    <w:p>
      <w:r>
        <w:t>La décision communale dont est recours, rendue sur la base du règlement vaudois du 5 septembre 2007 sur l'aide individuelle au logement (RAIL; RSV 840.11.3), peut faire l'objet d'un recours auprès de la Cour de droit administratif et public du Tribunal cantonal dans un délai de trente jours dès sa notification. La loi sur la procédure administrative est applicable (cf. art. 30 al. 2 RAIL). Déposé en temps utile devant l'autorité compétente, le recours satisfait par ailleurs aux autres conditions formelles de recevabilité (cf. art. 79 de la loi vaudoise du 28 octobre 2008 sur la procédure administrative [LPA-VD; RSV 173.36]). Il y a donc lieu d'entrer en matière sur le fond.</w:t>
      </w:r>
    </w:p>
    <w:p>
      <w:r>
        <w:rPr>
          <w:b/>
        </w:rPr>
        <w:t>E. 2</w:t>
      </w:r>
    </w:p>
    <w:p>
      <w:r>
        <w:t>Le litige porte sur le refus de la municipalité d'accorder une aide financière au logement en faveur du recourant.</w:t>
      </w:r>
    </w:p>
    <w:p>
      <w:r>
        <w:rPr>
          <w:b/>
        </w:rPr>
        <w:t>E. 3</w:t>
      </w:r>
    </w:p>
    <w:p>
      <w:r>
        <w:t>Pour les familles monoparentales, le montant de l'aide calculée selon le présent règlement est versé intégralement lorsque le nombre d'occupants est inférieur de un par rapport au nombre de pièces du logement.</w:t>
      </w:r>
    </w:p>
    <w:p>
      <w:r>
        <w:rPr>
          <w:b/>
        </w:rPr>
        <w:t>E. 4</w:t>
      </w:r>
    </w:p>
    <w:p>
      <w:r>
        <w:t>Si le nombre d'occupants est inférieur de deux par rapport au nombre de pièces du logement, l'aide individuelle n'est pas octroyée.</w:t>
      </w:r>
    </w:p>
    <w:p>
      <w:r>
        <w:rPr>
          <w:b/>
        </w:rPr>
        <w:t>E. 5</w:t>
      </w:r>
    </w:p>
    <w:p>
      <w:r>
        <w:t>Lorsque les père et mère ont la garde partagée d'un enfant mineur, ce dernier est pris en considération dans les deux logements ". Enfin, une Directive précisant les critères pour la prise en compte des enfants mineurs dans les types de ménage, adoptée par le Département de l'intérieur (désormais le Département des institutions et de la sécurité; ci-après: DIS) le 20 décembre 2012, indique ce qui suit: " Lorsque l'enfant est mineur et ses parents sont séparés ou divorcés, le demandeur de l'AIL doit bénéficier du droit de garde. Le juge peut attribuer la garde à la mère de l'enfant (avec droit de visite à son père), à son père (avec droit de visite à sa mère) ou aux deux parents (garde partagée). Dans ce cas-ci, et lorsque les deux parents viendraient à demander l'AIL, l'enfant serait pris en considération tant pour la détermination du droit de sa mère que pour celui de son père. En revanche, lorsque le demandeur exerce un droit de visite un week-end sur deux et durant la moitié des vacances scolaires, l'enfant concerné n'est pas pris en compte dans la composition du ménage ". b) En l'espèce, la municipalité a refusé d'octroyer au recourant une aide individuelle au logement, sur la base de l'art. 17 al. 4 RAIL, au motif que son appartement de quatre pièces était sous-occupé. Le recourant s'en défend en arguant que les trois chambres de son logement sont utilisées, la première par lui-même, la deuxième par sa fille majeure B.________ et la troisième par sa dernière-née E.________ lors de l'exercice du droit de visite, soit deux matinées par semaine, un week-end sur deux et la moitié des vacances scolaires. Selon la directive du DIS susmentionnée toutefois (cf. consid. 3a supra ), il n'est possible de tenir compte de la présence d'un enfant mineur dans la composition du ménage que si le parent qui sollicite l'aide au logement bénéficie du droit de garde, un simple droit de visite n'étant pas suffisant à cet égard. Comme la Cour de céans a déjà eu l'occasion d'en juger dans un précédent arrêt similaire au cas d'espèce, une telle distinction n'est pas contraire au principe de l'égalité de traitement (PS.2009.0009 du 30 avril 2010 consid. 4c). Elle se justifie effectivement du fait, d'une part, que le parent auquel la garde d'un enfant a été confiée doit aménager dans son appartement l'espace nécessaire à la vie et au développement de celui-ci, alors que le parent chez qui le droit de visite est exercé n'assume la présence de l'enfant dans son logement que de manière occasionnelle, selon les modalités convenues. D'autre part, l'art. 17 RAIL tient compte de la situation des familles monoparentales en permettant de verser intégralement le montant de l'aide lorsque le nombre d'occupants est inférieur de un par rapport au nombre de pièces du logement; de cette manière, l'adulte seul est compté comme un couple pour les familles monoparentales. Or, dans le cas présent, le droit de garde sur l'enfant mineure E.________ a été confié à la mère par prononcé de mesures protectrices de l'union conjugale du 9 juin 2016, seul un droit de visite ayant été attribué au père. Il s'ensuit que le "degré d'occupation" du logement au sens de l'art. 17 RAIL se limite à deux personnes – le recourant et sa fille aînée B.________ – dans un appartement de quatre pièces. Enfin, la CDAP a également retenu dans l'arrêt précité (PS.2009.0009 du 30 avril 2010 consid. 4c) que la réglementation cantonale ne permettait pas de déroger aux critères posés par l'art. 17 RAIL au seul motif que le loyer de l'habitation sous-occupée serait inférieur au loyer maximum admissible fixé, pour un appartement de moindres dimensions, par l'arrêté du 5 septembre 2007 fixant le modèle cantonal pour l'octroi de l'aide individuelle au logement (AMCAIL; RSV 840.11.3.1). En l'occurrence au demeurant, le loyer du quatre pièces du recourant atteint 1'750 fr., alors que le loyer maximum admissible selon l'AMCAIL pour un trois pièces s'élève à 1'500 francs. Aussi est-ce à juste titre que la municipalité a fait application de l'art. 17 al. 4 RAIL, lequel exclut l'octroi d'une aide financière individuelle si le nombre d'occupants est, comme en l'occurrence, inférieur de deux par rapport au nombre de pièces du logement. c) Au regard des développements qui précèdent, la décision attaquée, qui ne procède ni d'une violation du droit ni d'un abus du pouvoir d’appréciation, ne prête pas le flanc à la critique. 4. En définitive, le recours, mal fondé, doit être rejeté et la décision attaquée confirmée. Le présent arrêt sera rendu sans frais (cf. art. 4 al. 3 du tarif vaudois du 28 avril 2015 des frais judiciaires et des dépens en matière administrative [TFJDA; RSV 173.36.5.1]), ni 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