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PS.2016.0081 vom 25. April 2017</w:t>
      </w:r>
    </w:p>
    <w:p>
      <w:r>
        <w:t>VD Tribunal cantonal, 2017-04-25, FR</w:t>
      </w:r>
    </w:p>
    <w:p>
      <w:r>
        <w:rPr>
          <w:b/>
        </w:rPr>
        <w:t xml:space="preserve">Quelle: </w:t>
      </w:r>
      <w:r>
        <w:t>https://mcp.opencaselaw.ch/entscheid/vd_omni_PS.2016.0081</w:t>
      </w:r>
    </w:p>
    <w:p>
      <w:r>
        <w:t>FR: VD_OMNI PS.2016.0081 du 25 avril 2017</w:t>
      </w:r>
    </w:p>
    <w:p>
      <w:r>
        <w:t>IT: VD_OMNI PS.2016.0081 del 25 aprile 2017</w:t>
      </w:r>
    </w:p>
    <w:p>
      <w:pPr>
        <w:pStyle w:val="Heading2"/>
      </w:pPr>
      <w:r>
        <w:t>Regeste</w:t>
      </w:r>
    </w:p>
    <w:p>
      <w:r>
        <w:t>A.________/Service de prévoyance et d'aide sociales, Centre social régional de l'Est lausannois-Oron-Lavaux, B.________ | Admission du recours dirigé à l'encontre une décision du SPAS, qui confirme une décision du CSR constatant l'existence d'un ménage commun entre la recourante et le père de ses enfants et intégrant les revenus de celui-ci dans son budget pour l'allocation du RI. Rappel des conditions permettant d'assimiler une communauté de vie, soit un concubinage qualifié, à un mariage. Lorsque le concubinage est, comme dans le cas d'espèce, contesté par les intéressés, respectivement lorsque ceux-ci n'admettent pas ou plus d'être traités comme tels, il convient de prendre en compte toutes les circonstances permettant d'apprécier, à un degré de vraisemblance prépondérant, la nature de la communauté de vie. A l'issue de l'instruction, il apparaît que les constatations faites au cours de l'enquête mise en oeuvre par le CSR ne sont pas suffisantes pour établir que la recourante et le père de ses enfants n’auraient jamais cessé la vie commune ou à tout le moins, auraient repris celle-ci après leur séparation, ce qu'il appartenait à l'autorité de prouver. Dès lors que l’existence d’une communauté de vie entre la recourante et le père de ses enfants, assimilable au mariage, n’est pas établie, celle-ci n’avait pas l’obligation d’annoncer cette situation aux services sociaux et n’était pas tenue d’indiquer le revenu et la situation exacte du père de ses enfants, afin que soit déterminée la quotité de la prestation financière à laquelle elle pouvait prétendre.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Sur le plan procédural également, on relève que l’autorité intimée est, à juste titre, entrée en matière sur le recours. Vu l’art. 74 al. 2 de la loi cantonale du 2 décembre 2003 sur l'action sociale vaudoise (LASV; RSV 850.051), la décision du CSR peut faire l’objet d’un recours au SPAS (1 ère phrase), la LPA-VD étant applicable (2 ème phrase), dont l’art. 77, aux termes duquel le recours administratif s'exerce dans un délai de trente jours dès notification de la décision attaquée. En l’espèce, la décision attaquée est datée du 19 avril 2016; on ignore à quelle date la recourante en a pris connaissance, mais dans son courrier du 2 mai 2016, celle-ci a clairement manifesté sa volonté d’entreprendre cette décision. Sans doute, cette correspondance a été adressée non pas à l’autorité intimée, mais au CSR. A teneur de l’art. 20, 1 ère phrase, LPA-VD cependant, lorsqu'une partie s'adresse en temps utile à une autorité incompétente, le délai est réputé sauvegardé. En tant qu’il a été formé contre la décision du 19 avril 2016, le recours l’a ainsi été en temps utile.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 […].</w:t>
      </w:r>
    </w:p>
    <w:p>
      <w:r>
        <w:rPr>
          <w:b/>
        </w:rPr>
        <w:t>E. 7</w:t>
      </w:r>
    </w:p>
    <w:p>
      <w:r>
        <w:t>A la personne sollicitant une aide ou ayant obtenu des prestations RI est assimilé son conjoint ou partenaire enregistré."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L’art. 38 LASV est complétée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le début d'une activité lucrative ou l'augmentation de la rémunération d'une telle activité (let. a). Il n'appartient en effet pas à l'autorité d'application de l’aide sociale d'établir un tel besoin d'aide.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CDAP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(PS.2016.0082 du 10 février 2017 consid. 2e et les réf.). c) L'art. 45 LASV dispose que la violation par le bénéficiaire des obligations liées à l'octroi de prestations financières, intentionnelle ou par négligence, peut donner lieu à une réduction, voire à la suppression de l'aide (al. 1). Cette disposition est précisée notamment par les art. 42 et 43 RLASV, dont la teneur est la suivante: Art. 42 – Conditions (Art. 45 LASV) " 1 L 'autorité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d)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PS.2004.0054 du 23 septembre 2014 consid. 1a).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de la prestation financière allouée lorsque le montant indu est inférieur ou égal à Fr. 20'000.- et à 25% lorsque le montant indu est supérieur à Fr. 20'000.-. Dans tous les cas, le prélèvement ne peut porter atteinte au minimum vital absolu destiné à couvrir les besoins essentiels et vitaux (art. 43a LASV, dans sa teneur au 1 er janvier 2017; cf. aussi art. 31a al. 1, 1 ère phrase, RLASV). Ce prélèvement ne touche pas la part affectée aux enfants mineurs à charge (art. 31a al. 1, 2 ème phrase, RLASV). 4. En l’occurrence, aucune sanction n’a été prise à l’encontre de la recourante. Dans la décision confirmée par l’autorité intimée, le CSR a estimé que celle-ci et le père de ses enfants vivaient en concubinage, de sorte qu’il lui importait de prendre en considération le revenu de ce dernier dans le budget, afin de déterminer l’étendue du droit de la recourante au RI. Les informations demandées sur ce point ne lui ayant pas été transmises, le CSR a estimé que la recourante ne pouvait plus prétendre à l’octroi du RI. a) Le CSR a estimé qu’il disposait, au vu du contenu du rapport d’enquête du 22 mars 2016, d’éléments suffisants pour retenir que la recourante et B.________ faisaient ménage commun dans l’appartement de ********. On rappelle à cet égard que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avec un devoir de fidélité et d’assistance réciproque (arrêt PS.2015.0039 du 27 janvier 2016).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nature de la communauté de vie. Ces circonstances sont notamment les suivantes: l'existence d'un enfant commun, la durée de la vie commune – étant précisé qu'une union de plus de cinq ans suffit à elle seule à faire présumer l'existence du concubinage (cf. art. 17a let. b RLASV) –, le partenaire du recourant contribue effectivement à l'entretien de celui-ci, les partenaires se sont aidés financièrement à un moment de leur vie commune, ils sont propriétaires de biens communs, passent leurs loisirs et leurs vacances ensemble, fréquentent les mêmes amis; en outre, ils n'ont jusqu'alors jamais contesté vivre en concubinage et ont tenu des propos desquels on pouvait déduire qu'ils vivaient en concubinage (arrêts PS.2016.0021 du 17 novembre 2016 consid. 3b; PS.2015.0039 du 27 janvier 2016, déjà cité; PS.2001.0132 du 5 juin 2003, consid. 1b). b) Des explications de la recourante recueillies en audience, il ressort que celle-ci a fait ménage commun avec B.________ au moins quatre ans, entre 2007 et 2011. Le couple a vécu de manière successive à ********, au chemin ********, et au domicile de E.________, à ********, avant d’emménager, en 2010, à ********, dans l’immeuble qu’occupe toujours la recourante. Ils avaient pris à bail, ensemble et conjointement, un appartement que la recourante a par la suite échangé avec celui de sa sœur, lorsqu’elle attendait sa fille D.________, soit en 2013. On retire de la déposition de E.________ que B.________ est revenu habiter chez elle, «probablement» durant l’été 2011. Selon le témoin, ce dernier ne vivait en tout cas plus avec la recourante lorsque la fille cadette de la recourante est née, soit le ******** 2013. La recourante l’a elle-même reconnu: ses relations avec B.________ se sont toutefois poursuivies au-delà de 2011. Elle a admis que ce dernier dormait parfois chez elle, sur un canapé. Du reste, ils ont eu ensemble une fille en 2013 et la recourante a reconnu avoir parfois entretenu avec lui, entre 2011 et 2016, des relations intimes, lorsqu’il dormait chez elle. Elle a même envisagé de reprendre la vie commune avec lui, avant toutefois d’y renoncer. En outre, la recourante et B.________ sont toujours co-titulaires du bail de l’appartement que la première occupe à l’heure actuelle à ********, seule avec ses enfants depuis 2013. Du reste, bien que B.________ soit censé ne plus habiter l’immeuble depuis 2011 et que la recourante ait changé d’appartement le 1 er janvier 2013, le nom de celui-ci apparaît tant sur la sonnette extérieure, que sur la boîte aux lettres, que sur la porte du nouvel appartement. Ces deux derniers éléments ne sont toutefois pas à eux seuls déterminants pour retenir la poursuite de la vie commune au-delà de 2011. Lors du changement d’appartement, la recourante dit avoir simplement posé sur la porte d’entrée la plaque qui figurait sur la porte d’entrée de l’ancien appartement, ce qui est vraisemblable. En outre, il est tout aussi vraisemblable que la gérance n’aurait pas accepté que la recourante prenne à bail ce nouvel appartement seule, dès lors qu’elle-même et B.________ avaient pris à bail conjointement et solidairement l’appartement précédemment occupé; ceci d’autant moins que la recourante percevait déjà des prestations d’assistance publique à cette époque. c) Le rapport d’enquête du 22 mars 2016 fait état, quant à lui, d’autres constatations plutôt troublantes, dont il ressort que B.________ pourrait continuer de fréquenter de manière assidue l’appartement de la recourante, à ********. Ce dernier est aperçu quotidiennement dans l’immeuble; l’enquête de voisinage a révélé que la recourante formait un couple avec B.________ et que tous deux vivaient ensemble dans l’appartement de ********. Lors de son audition, l’enquêtrice a indiqué qu’elle s’était rendue à quatre reprises sur les lieux. Le 9 et le 15 février 2016, elle a constaté au petit matin, devant l’immeuble de ********, la présence d’un véhicule Ford K, immatriculé au nom de E.________, utilisé par B.________, et dont le capot était froid. L’enquêtrice a constaté à plusieurs reprises que B.________ promenait le chien de la recourante au petit matin, avant de prendre son véhicule où son fils C.________ prenait également place. L’enquêtrice a ajouté que la Ford K stationnait dehors; elle ne s’est pas souvenue s’il y avait de la neige, mais se rappelle en revanche que le capot du véhicule était froid. Elle n’a toutefois pas remarqué la présence de givre sur le véhicule. On relève sur ce point que B.________ travaillait à ********, chez H.________, au moment de l’enquête; or, cette dernière localité n’est séparée du domicile de la recourante que par 25 km environ, soit une demi-heure en voiture. Pour rejoindre ******** depuis ********, où est domiciliée sa mère dont il est censé partager l’appartement, B.________ devait en revanche effectuer un trajet quotidien de près de 60km durant la semaine, ce qui représente entre cinquante minutes et une heure de voiture, auquel s’ajoute encore le chemin du retour. Le fait que B.________ loue également un box dans l'immeuble de ******** depuis le 1 er juin 2014 renforce encore les constatations de l’enquête, auxquelles la recourante a du reste été confrontée. Lors de son audition, l’enquêtrice a par ailleurs rappelé qu’elle n’était pas parvenue à visiter l’appartement de la recourante à l’improviste, comme elle l’aurait souhaité, dans la mesure où les trois fois où elle a sonné à la porte, entre le 9 et le 18 février 2016 dans la journée, personne n’a répondu. L’enquêtrice a pris rendez-vous à cet effet avec la recourante et il lui est apparu que tout avait été rangé et débarrassé lorsqu’elle a pénétré à l’intérieur de l’appartement, de façon à ne pas faire apparaître la présence de B.________. Il n’en demeure pas moins que les constatations de l’enquêtrice du CSR ne sont pas suffisantes pour établir que la recourante et B.________ n’auraient jamais cessé la vie commune ou à tout le moins, auraient repris celle-ci après leur séparation, ce qu'il appartient aux autorités précédentes de prouver. On l’a dit plus haut: la recourante a elle-même admis qu’elle avait conservé des relations avec le père de ses enfants et que celui-ci dormait parfois chez elle. Elle a du reste été tentée, à un moment donné, de reprendre la vie commune avec lui, avant d’y renoncer en raison de la trop forte dissemblance de leurs caractères. En outre, il est établi que B.________ a continué, après leur séparation, à s’occuper de son fils C.________, en le conduisant, dès 2015, à l’école spécialisée que celui-ci fréquente, à ********, lundi et mardi matins. La recourante a en outre indiqué que B.________ conduisait D.________ chez la maman de jour et ramenait les enfants chez elle le soir. La recourante a ajouté que B.________ faisait également une promenade avec son chien avant de le remonter chez elle où celui-ci demeurait durant la journée. Du reste, est particulièrement troublant le fait que l’enquêtrice n’ait pas remarqué, sur le véhicule utilisé par B.________, la présence de givre alors que ce véhicule stationnait à l’extérieur au mois de février, par surcroît. Or, l’enquêtrice, qui a pris la peine de vérifier si le capot du véhicule était encore chaud, aurait nécessairement dû s’en rendre compte. On rappelle que le bâtiment où habite la recourante se situe à une altitude de 680m et qu’au mois de février, compte tenu des températures négatives durant la nuit, il est notoire que les véhicules stationnant dehors à cette altitude sont recouverts de givre, voire d’une pellicule de gel. Cela pourrait démontrer que, contrairement aux conclusions de l’enquête, B.________ n’avait pas passé la nuit chez la recourante lorsque l’enquêtrice s’est rendue sur les lieux au mois de février 2016. De tous ces éléments, confirmés par la déposition du témoin E.________, on retient comme la situation la plus vraisemblable qu’à cette époque, B.________ se rendait tous les matins au domicile de la recourante depuis ********, pour s’occuper de ses enfants, avant de rejoindre son travail à ********. Il n’est donc guère surprenant que l’intéressé ait été régulièrement voire quotidiennement (cf. rapport d'enquête: "Selon l'enquête de voisinage, M. B.________ est quotidiennement aperçu dans l'immeuble") aperçu dans l’immeuble de ******** par le voisinage, ceci d’autant qu’il y louait un box, comme on l’a vu. Cette circonstance ne permet cependant pas de retenir qu’il faisait ménage commun avec la recourante, étant rappelé que l'existence d’une union libre stable entraînant des obligations d’entraide comparables à celle d’un mariage n'est admise qu'avec retenue par la jurisprudence (cf. consid. 4a ci-dessus) et que, s'agissant de faits pouvant conduire à la réduction ou à la suppression de l'aide sociale, il appartient à l'autorité d'en apporter la preuve (cf. consid. 3b ci-dessus). Le rapport d'enquête relève par ailleurs que des montants ont été débités du compte CCP de la recourante pour l'achat de carburant. Cette dernière ne possédant pas de véhicule, l'enquêtrice en a conclu que c'était B.________ qui utilisait la carte de la recourante pour acheter du carburant. Dans son mémoire du 10 novembre 2016, la recourante fait toutefois valoir qu'il lui arrive de payer de l'essence à sa sœur, qui la prend régulièrement dans sa voiture. Or, cette explication est plausible et n'est pour l'essentiel pas contredite par les lieux auxquels les achats ont été effectués (not. 21 mars 2015, montant de 30 fr. 10 à ********; 1 er avril 2015, 20 fr. 70 à ********; 4 juin 2015, 20 fr. à ********; 4 juin 2015, 10 fr. à ********;</w:t>
      </w:r>
    </w:p>
    <w:p>
      <w:r>
        <w:rPr>
          <w:b/>
        </w:rPr>
        <w:t>E. 10</w:t>
      </w:r>
    </w:p>
    <w:p>
      <w:r>
        <w:t>juin 2015, 20 fr. à ********). Enfin, on relève que la recourante vient d’être dénoncée par son voisinage pour faire ménage commun non pas avec B.________, mais avec un prénommé «K.________». Or, elle a elle-même admis, lors de son audition, qu’elle vivait actuellement en couple avec K.________, ressortissant français domicilié à ********. d) L’existence d’une communauté de vie entre B.________ et la recourante, assimilable au mariage, n’étant pas établie, la recourante n’avait pas l’obligation d’annoncer cette situation aux services sociaux. Contrairement à ce que retient la décision du 19 avril 2016, la recourante n’était donc pas tenue d’indiquer le revenu et la situation exacte de B.________ afin que soit déterminée la quotité de la prestation financière à laquelle elle pouvait prétendre. Par conséquent, c’est à tort que la production du contrat de travail, des fiches de salaire 2015 et des relevés bancaires ou postaux concernant B.________ ont été requises. Il n’est donc pas possible de retenir à l’encontre de la recourante une violation de son devoir de collaborer avec les services sociaux. Il résulte de ce qui précède que le CSR ne pouvait pas considérer que la recourante n’avait pas prouvé qu’elle était dépourvue des moyens nécessaires pour satisfaire ses besoins vitaux et ceux de ses enfants. Dès lors, l’autorité n’était pas fondée à prononcer une décision de cessation de toute prestation financière en faveur de la recourante. Cela conduit à l’annulation de la décision attaquée. Quant à qualifier la relation que la recourante entretient au demeurant avec K.________ à l’heure actuelle, cette question sort du cadre de la décision attaquée (cf. art. 79 al. 2 LPA-VD). Il appartiendra, le cas échéant, au CSR de déterminer si cette relation constitue une communauté de vie assimilable au mariage et d’inviter en conséquence la recourante à respecter son devoir de collaboration. 5. Les considérants qui précèdent conduisent à l’admission du recours et à l’annulation de la décision attaquée.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