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PS.2016.0046 vom 11. August 2016</w:t>
      </w:r>
    </w:p>
    <w:p>
      <w:r>
        <w:t>VD Tribunal cantonal, 2016-08-11, FR</w:t>
      </w:r>
    </w:p>
    <w:p>
      <w:r>
        <w:rPr>
          <w:b/>
        </w:rPr>
        <w:t xml:space="preserve">Quelle: </w:t>
      </w:r>
      <w:r>
        <w:t>https://mcp.opencaselaw.ch/entscheid/vd_omni_PS.2016.0046</w:t>
      </w:r>
    </w:p>
    <w:p>
      <w:r>
        <w:t>FR: VD_OMNI PS.2016.0046 du 11 août 2016</w:t>
      </w:r>
    </w:p>
    <w:p>
      <w:r>
        <w:t>IT: VD_OMNI PS.2016.0046 del 11 agosto 2016</w:t>
      </w:r>
    </w:p>
    <w:p>
      <w:pPr>
        <w:pStyle w:val="Heading2"/>
      </w:pPr>
      <w:r>
        <w:t>Regeste</w:t>
      </w:r>
    </w:p>
    <w:p>
      <w:r>
        <w:t>X.________ c/Service de prévoyance et d'aide sociales, Centre social régional Riviera Site de Vevey | C'est à juste titre que l'autorité de recours a déclaré le recours administratif sans objet et radié la cause du rôle, faute d'intérêt actuel et pratique.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let. a de la loi cantonale du 28 octobre 2008 sur la procédure administrative (LPA-VD; RSV 173.36), le droit de recours suppose que l'intérêt digne de protection à l'annulation de la décision attaquée soit actuel. S'il disparaît pendant la procédure de recours, la cause est rayée du rôle comme étant devenue sans objet.</w:t>
      </w:r>
    </w:p>
    <w:p>
      <w:r>
        <w:rPr>
          <w:b/>
        </w:rPr>
        <w:t>E. 2</w:t>
      </w:r>
    </w:p>
    <w:p>
      <w:r>
        <w:t>Vu ce qui précède, le recours - qui confine à la témérité - doit être rejeté. Il y a lieu de statuer sans frais. L'attention du recourant est attirée sur l'art. 39 LPA-VD, disposant que celui qui engage une procédure téméraire est passible d'une amende de 1'000 francs et, en cas de récidive, de 3000 francs au plus.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