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PS.2016.0043 vom 3. Januar 2017</w:t>
      </w:r>
    </w:p>
    <w:p>
      <w:r>
        <w:t>VD Tribunal cantonal, 2017-01-03, FR</w:t>
      </w:r>
    </w:p>
    <w:p>
      <w:r>
        <w:rPr>
          <w:b/>
        </w:rPr>
        <w:t xml:space="preserve">Quelle: </w:t>
      </w:r>
      <w:r>
        <w:t>https://mcp.opencaselaw.ch/entscheid/vd_omni_PS.2016.0043</w:t>
      </w:r>
    </w:p>
    <w:p>
      <w:r>
        <w:t>FR: VD_OMNI PS.2016.0043 du 3 janvier 2017</w:t>
      </w:r>
    </w:p>
    <w:p>
      <w:r>
        <w:t>IT: VD_OMNI PS.2016.0043 del 3 gennaio 2017</w:t>
      </w:r>
    </w:p>
    <w:p>
      <w:pPr>
        <w:pStyle w:val="Heading2"/>
      </w:pPr>
      <w:r>
        <w:t>Regeste</w:t>
      </w:r>
    </w:p>
    <w:p>
      <w:r>
        <w:t>A.________/Office régional de placement de Pully, Service de l'emploi Instance juridique chômage, Centre social régional de l'Est lausannois-Oron-Lavaux | Décision du SDE confirmant une décision de l'ORP réduisant de 15% le forfait mensuel d'entretien du recourant pendant 2 mois, à titre de sanction pour un rendez-vous manqué. Les conditions d'une dispense de sanction établies par la jurisprudence fédérale ne sont pas remplies, car le recourant a commis une négligence dépassant le simple oubli et n'a pas pris suffisamment au sérieux ses obligations. Confirmation de la quotité de la sanction, qui constitue le minimum légal. Recours rejeté.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Déposé dans le délai de trente jours fixé par l’art. 95 de la loi vaudoise du 28 octobre 2008 sur la procédure administrative (LPA-VD; RSV 173.36), le recours est intervenu en temps utile. Il respecte au surplus les conditions formelles énoncées à l’art. 79 LPA-VD, de sorte qu'il y a lieu d'entrer en matière sur le fond.</w:t>
      </w:r>
    </w:p>
    <w:p>
      <w:r>
        <w:rPr>
          <w:b/>
        </w:rPr>
        <w:t>E. 2</w:t>
      </w:r>
    </w:p>
    <w:p>
      <w:r>
        <w:t>Le refus d'observer d'autres instructions entraîne une diminution des prestations financières après un avertissement .</w:t>
      </w:r>
    </w:p>
    <w:p>
      <w:r>
        <w:rPr>
          <w:b/>
        </w:rPr>
        <w:t>E. 3</w:t>
      </w:r>
    </w:p>
    <w:p>
      <w:r>
        <w:t>Le montant et la durée de la réduction, fixés en fonction du type, de la gravité et de la répétition du manquement, sont de 15% ou de 25% du forfait, pour une durée de 2 à 12 mois. La réduction du forfait ne touche pas la part affectée aux enfants à charge.</w:t>
      </w:r>
    </w:p>
    <w:p>
      <w:r>
        <w:rPr>
          <w:b/>
        </w:rPr>
        <w:t>E. 4</w:t>
      </w:r>
    </w:p>
    <w:p>
      <w:r>
        <w:t>Les considérants qui précèdent conduisent au rejet du recours et à la confirmation de la décision attaquée. L'arrêt est rendu sans frais (art. 4 al. 3 du tarif du 28 avril 2015 des frais judiciaires et des dépens en matière administrative [TFJDA; RSV 173.36.5.1]) . Il n'y a pas lieu d'allouer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