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PS.2015.0119 vom 29. Januar 2016</w:t>
      </w:r>
    </w:p>
    <w:p>
      <w:r>
        <w:t>VD Tribunal cantonal, 2016-01-29, FR</w:t>
      </w:r>
    </w:p>
    <w:p>
      <w:r>
        <w:rPr>
          <w:b/>
        </w:rPr>
        <w:t xml:space="preserve">Quelle: </w:t>
      </w:r>
      <w:r>
        <w:t>https://mcp.opencaselaw.ch/entscheid/vd_omni_PS.2015.0119</w:t>
      </w:r>
    </w:p>
    <w:p>
      <w:r>
        <w:t>FR: VD_OMNI PS.2015.0119 du 29 janvier 2016</w:t>
      </w:r>
    </w:p>
    <w:p>
      <w:r>
        <w:t>IT: VD_OMNI PS.2015.0119 del 29 gennaio 2016</w:t>
      </w:r>
    </w:p>
    <w:p>
      <w:pPr>
        <w:pStyle w:val="Heading2"/>
      </w:pPr>
      <w:r>
        <w:t>Regeste</w:t>
      </w:r>
    </w:p>
    <w:p>
      <w:r>
        <w:t>X.________ c/Service de prévoyance et d'aide sociales, Centre social régional Riviera | Un délai de deux mois pour traiter un recours déposé devant le SPAS contre une décision du CSR n'apparaît pas excessif, d'autant moins que le dossier de la cause n'a été produit devant le SPAS qu'après près d'un mois. Rejet du recours pour déni de justice.</w:t>
      </w:r>
    </w:p>
    <w:p>
      <w:pPr>
        <w:pStyle w:val="Heading2"/>
      </w:pPr>
      <w:r>
        <w:t>Erwägungen</w:t>
      </w:r>
    </w:p>
    <w:p>
      <w:r>
        <w:rPr>
          <w:b/>
        </w:rPr>
        <w:t>E. 1</w:t>
      </w:r>
    </w:p>
    <w:p>
      <w:r>
        <w:t>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130 I 312  consid. 5.2 p. 332).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130 I 312 consid. 5.2 p. 332).</w:t>
      </w:r>
    </w:p>
    <w:p>
      <w:r>
        <w:rPr>
          <w:b/>
        </w:rPr>
        <w:t>E. 2</w:t>
      </w:r>
    </w:p>
    <w:p>
      <w:r>
        <w:t>En l'espèce, force est de constater que le présent recours pour retard injustifié à statuer est manifestement mal fondé. Au moment de la saisine de la cour de céans (3 décembre 2015), le SPAS ne s'était pas encore prononcé sur le recours administratif déposé devant lui le 3 octobre 2015. Or ce délai de deux mois pour traiter un tel recours n’apparaît manifestement pas excessif, d’autant moins que le dossier de la cause n’avait été produit devant le SPAS que le 28 octobre 2015. On peut même se demander si le présent recours n’est pas irrecevable, dès lors que le recourant avait trouvé un appartement à partir du 16 novembre 2015 et que le recours de droit administratif déposé le 3 décembre 2015 avait apparemment déjà perdu son objet</w:t>
      </w:r>
    </w:p>
    <w:p>
      <w:r>
        <w:rPr>
          <w:b/>
        </w:rPr>
        <w:t>E. 3</w:t>
      </w:r>
    </w:p>
    <w:p>
      <w:r>
        <w:t>Vu ce qui précède, le recours - qui confine à la témérité - doit être rejeté, dans la mesure où il est recevable. Il y a lieu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