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PS.2015.0067 vom 4. November 2015</w:t>
      </w:r>
    </w:p>
    <w:p>
      <w:r>
        <w:t>VD Tribunal cantonal, 2015-11-04, FR</w:t>
      </w:r>
    </w:p>
    <w:p>
      <w:r>
        <w:rPr>
          <w:b/>
        </w:rPr>
        <w:t xml:space="preserve">Quelle: </w:t>
      </w:r>
      <w:r>
        <w:t>https://mcp.opencaselaw.ch/entscheid/vd_omni_PS.2015.0067</w:t>
      </w:r>
    </w:p>
    <w:p>
      <w:r>
        <w:t>FR: VD_OMNI PS.2015.0067 du 4 novembre 2015</w:t>
      </w:r>
    </w:p>
    <w:p>
      <w:r>
        <w:t>IT: VD_OMNI PS.2015.0067 del 4 novembre 2015</w:t>
      </w:r>
    </w:p>
    <w:p>
      <w:pPr>
        <w:pStyle w:val="Heading2"/>
      </w:pPr>
      <w:r>
        <w:t>Regeste</w:t>
      </w:r>
    </w:p>
    <w:p>
      <w:r>
        <w:t>A.X.________ /Service de prévoyance et d'aide sociales, Centre social régional de Morges-Aubonne-Cossonay | Bénéficiaire du RI qui s'est vu allouer dès octobre 2013 un droit au RI calculé selon le barème prévu pour une personne vivant seule. Décision du CSR, confirmée par le SPAS, qui odonne le remboursement d'un montant de 5'075 francs correspondant à la part de loyer qu'aurait dû prendre à sa charge un tiers qui aurait vécu jusqu'au 9 mai 2014 chez l'intéressé et le sanctionne en réduisant de 15% son forfait RI pendant quatre mois. En présence de deux attestations du contrôle des habitants divergentes s'agissant de la date de départ de la commune du tiers (12 juin 2013 sur l'une et 9 mai 2014 sur l'autre), l'autorité intimée devait compléter l'instruction, notamment en demandant des explications au tiers. Admission partielle du recours et renvoi de la cause au SPAS pour complément d'instruction et nouvelle décision.</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Selon l'art. 28 du règlement du 26 octobre 2005 d'application de la LASV (RLASV; RSV 850.050.1), lorsqu'un ménage bénéficiant du RI vit avec une ou plusieurs personnes non à charge, la prestation financière du RI est réduite en tenant compte d'une contribution de cette ou de ces personnes aux frais (al.1).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Le supplément prévu à l'article 22 est accordé au ménage bénéficiaire du RI (al.2). Si le ménage élargi ne forme pas une communauté de type familial, la contribution se limite au partage proportionnel des frais de logement et charges selon le nombre total de personnes (al.3). L'art. 38 al. 1 et 2 LASV dispose que la personne qui sollicite une prestation financière ou qui en bénéficie déjà est tenue de fournir des renseignements complets sur sa situation personnelle et financière et d'autoriser l'autorité compétente à prendre des informations à son sujet (cf. aussi art. 29 RLASV). Elle doit signaler sans retard tout changement de sa situation pouvant entraîner la réduction ou la suppression des prestations (al. 4). Selon l'art. 40 al. 1 LASV, la personne au bénéfice d'une aide doit collaborer avec l'autorité d'application.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L'autorité compétente peut compenser les montants indûment perçus avec les prestations futures en prélevant chaque mois un montant équivalant à 15 % de la prestation financière allouée (art. 43a LASV). b)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Il n'en demeure pas moins que, lorsque les preuves font défaut, ou si l'on ne peut raisonnablement exiger de l'autorité qu'elle les recueille, la règle de l'art. 8 CC relative à la répartition du fardeau de la preuve est applicable par analogie. Pour les faits constitutifs d'un droit, le fardeau de la preuve incombe au requérant. Ces principes doivent être appliqués conformément aux règles de la bonne foi (ATF 112 Ib 65 consid. 3 et les références citées; cf. aussi arrêt CDAP PS.2015.0015 du 9 juin 2015). Les art. 38 et 40 LASV posent clairement, en matière d'aide sociale,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(cf. PS.2015.0015 du 9 juin 2015 et les références citées). c) En l'espèce, l'autorité intimée retient que C. Y.________ a cohabité avec le recourant jusqu'au 9 mai 2014, soit jusqu'à la date de départ inscrite sur l'attestation établie par le contrôle des habitants de la commune de 1******** le 5 juin 2014. Le recourant fait valoir de son côté que C. Y.________ a quitté 1******** vers la mi-juin 2013, de sorte que, lorsqu'il a déposé sa demande de RI en septembre 2013, elle ne cohabitait plus avec lui. Il a produit une autre attestation du contrôle des habitants de la commune de 1********, datée du 12 mai 2014, aux termes de laquelle C. Y.________ aurait quitté la commune le 12 juin 2013. Cette attestation est identique à celle du 5 juin 2014, seule la date de départ étant différente. L'autorité intimée, lorsqu'elle a constaté que le contrôle des habitants de la commune de 1******** avait délivré deux attestations avec des dates de départ différentes, a interpellé ce service. Ce dernier a produit une nouvelle attestation datée du 28 avril 2015 aux termes de laquelle C. Y.________ aurait quitté la commune le 9 mai 2014 et il a précisé que cette date de départ avait été fixée sur la base des déclarations de cette personne. L'autorité intimée a dès lors retenu comme date de départ le 9 mai 2014 au motif qu'il n'y avait aucune raison de remettre en cause cette date-là. La situation est particulière: le SPAS, qui disposait de deux attestations du contrôle des habitants, divergentes sur un point décisif, a retenu que seule la seconde était probante. Il n'a cependant pas demandé au bureau communal d'expliquer pourquoi la première attestation officielle était fausse. Il n'est pas exclu que cette première attestation - formellement dotée de la même force probante que la seconde, puisqu'elle n'a pas été annulée par le bureau communal - ait, elle aussi, été établie sur la base des déclarations de l'intéressée, qui aurait pu annoncer successivement deux dates de départ de la commune, soit en juin 2013 puis en mai 2014. Dans ces conditions, il incombait à l'autorité intimée de compléter l'instruction, notamment en demandant des explications à C. Y.________. Celle-ci s'est du reste adressée spontanément au SPAS le 20 juin 2015, en offrant de produire " tous les justificatifs nécessaires ". Certes, cette lettre est postérieure à la décision attaquée. Elle démontre néanmoins qu'une démarche auprès de cette personne n'¿ait pas d'emblée vouée à l'échec. Le recourant lui-même a indiqué au SPAS - également après la décision attaquée – qu'il allait lui transmettre des pièces justificatives, qui seraient en sa possession. Il est vrai que le recourant aurait dû produire d'emblée ces pièces. Il avait toutefois remis au SPAS une attestation du contrôle des habitants qu'il estimait déterminante; l'autorité intimée aurait dû, après avoir reçu l'attestation indiquant une autre date de départ, inviter le recourant à fournir d'autres preuves. Les données de l'annuaire téléphonique ne pouvaient pas être considérées comme suffisantes, à ce stade. Le recours de droit administratif peut être formé pour constatation inexacte ou incomplète des faits pertinents (art. 76 al. 1 let. b LPA-VD), et le recourant peut aussi se plaindre d'une violation du droit (art. 76 al. 1 let. a LPA-VD) s'il dénonce une violation des règles sur l'administration des preuves. En l'occurrence, le recourant est fondé à reprocher à l'autorité intimée d'avoir fixé la date de départ de C. Y.________ sans procéder à une instruction complète, et en se fondant principalement sur une attestation officielle dont la force probante n'est pas évidente. La décision attaquée, qui repose sur une instruction insuffisante, doit dès lors être annulée et la cause doit être renvoyée à l'autorité intimée pour nouvelle décision (cf. art. 90 LPA-VD), après instruction complémentaire. Vu les déclarations du recourant et de C. Y.________, qui affirment l'un et l'autre détenir des justificatifs, il incombera au SPAS de les interpeller, afin qu'ils fournissent ces pièces. Si aucun justificatif n'est produit, ou si les pièces transmises ne sont pas probantes, le SPAS pourra alors, le cas échéant, retenir que la dernière attestation du contrôle des habitants est propre à établir, au degré de la vraisemblance prépondérante, le lieu de résidence de C. Y.________  jusqu'au mois de mai 2014. Dans tous les cas, le SPAS statuera à nouveau sur le remboursement de l'indu ainsi que sur l'éventuelle sanction, devant trancher le recours administratif dirigé contre la décision du CSR.</w:t>
      </w:r>
    </w:p>
    <w:p>
      <w:r>
        <w:rPr>
          <w:b/>
        </w:rPr>
        <w:t>E. 3</w:t>
      </w:r>
    </w:p>
    <w:p>
      <w:r>
        <w:t>Les considérants qui précèdent conduisent à l'admission du recours et à l'annulation de la décision attaquée, la cause étant renvoyée à l'autorité intimée pour complément d'instruction et nouvelle décision. Il est statué sans frais (art. 4 al. 3 du tarif du 28 avril 2015 des frais judiciaires et des dépens en matière administrative [TFJDA; RSV 173.36.5.1]),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