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PS.2015.0059 vom 25. August 2015</w:t>
      </w:r>
    </w:p>
    <w:p>
      <w:r>
        <w:t>VD Tribunal cantonal, 2015-08-25, FR</w:t>
      </w:r>
    </w:p>
    <w:p>
      <w:r>
        <w:rPr>
          <w:b/>
        </w:rPr>
        <w:t xml:space="preserve">Quelle: </w:t>
      </w:r>
      <w:r>
        <w:t>https://mcp.opencaselaw.ch/entscheid/vd_omni_PS.2015.0059</w:t>
      </w:r>
    </w:p>
    <w:p>
      <w:r>
        <w:t>FR: VD_OMNI PS.2015.0059 du 25 août 2015</w:t>
      </w:r>
    </w:p>
    <w:p>
      <w:r>
        <w:t>IT: VD_OMNI PS.2015.0059 del 25 agosto 2015</w:t>
      </w:r>
    </w:p>
    <w:p>
      <w:pPr>
        <w:pStyle w:val="Heading2"/>
      </w:pPr>
      <w:r>
        <w:t>Regeste</w:t>
      </w:r>
    </w:p>
    <w:p>
      <w:r>
        <w:t>X.________ /Service de prévoyance et d'aide sociales, Centre social régional JURA-NORD VAUDOIS | Recourante, au bénéfice du RI, qui conteste la décision du SPAS, confirmant celle du CSIR, de tenir compte de son concubinage avec son ami pour déterminer les forfaits mensuels qui lui sont versés. Or, plusieurs indices confirment que les intéressés formaient une communauté de type familial, avec volonté d'assistance mutuelle et de soutien réciproque. Recours rejeté.</w:t>
      </w:r>
    </w:p>
    <w:p>
      <w:pPr>
        <w:pStyle w:val="Heading2"/>
      </w:pPr>
      <w:r>
        <w:t>Erwägungen</w:t>
      </w:r>
    </w:p>
    <w:p>
      <w:r>
        <w:rPr>
          <w:b/>
        </w:rPr>
        <w:t>E. 1</w:t>
      </w:r>
    </w:p>
    <w:p>
      <w:r>
        <w:t>Déposé dans le délai de trente jours dès la notification de la décision du SPAS, le recours est intervenu en temps utile ( art. 95 al. 1 de la loi vaudoise du 28 octobre 2008 sur la procédure administrative – LPA-VD; RSV 173.36). Il est au surplus recevable en la forme.</w:t>
      </w:r>
    </w:p>
    <w:p>
      <w:r>
        <w:rPr>
          <w:b/>
        </w:rPr>
        <w:t>E. 2</w:t>
      </w:r>
    </w:p>
    <w:p>
      <w:r>
        <w:t>a) Selon l’art. 1 de la loi du 2 décembre 2003 sur l'action sociale vaudoise (LASV; RSV 850.051), entrée en vigueur le 1 er janvier 2006, 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 PS.2001.0132 du 5 juin 2003, consid. 1b).</w:t>
      </w:r>
    </w:p>
    <w:p>
      <w:r>
        <w:rPr>
          <w:b/>
        </w:rPr>
        <w:t>E. 3</w:t>
      </w:r>
    </w:p>
    <w:p>
      <w:r>
        <w:t>En l'espèce, la recourante reconnaît dans son pourvoi avoir été la concubine de Y.________ jusqu'à fin 2014, alors même qu'elle avait formellement nié ce fait dans son recours adressé au SPAS le 9 octobre 2014. Cette attitude laisse songeur sur la bonne foi dont elle a fait preuve à l'égard de l'autorité et au crédit qu'il convient d'accorder à ses déclarations. Quoi qu'il en soit, la question de savoir si les intéressés étaient en couple lorsqu'ils ont emménagé ensemble en octobre 2014 n'est pas déterminante dans la présente procédure dès lors que la décision incriminée n'a pas retenu qu'ils vivaient en concubinage, mais bien plutôt qu'ils formaient une communauté de type familial. A cet égard, force est de constater que plusieurs indices tendent à démontrer une volonté d'assistance mutuelle et de soutien réciproque et permettent de conclure, avec un degré de vraisemblance suffisant, à l'existence d'une telle communauté.</w:t>
      </w:r>
    </w:p>
    <w:p>
      <w:r>
        <w:rPr>
          <w:b/>
        </w:rPr>
        <w:t>E. 4</w:t>
      </w:r>
    </w:p>
    <w:p>
      <w:r>
        <w:t>a) On relève tout d'abord qu'il ressort du dossier du CSR que la recourante a, à plusieurs reprises, présenté Y.________ comme son "ami", respectivement son "compagnon" (cf. notamment ses courriels des 3 juillet, 18 septembre, 2 novembre 2013 et 23 décembre 2013). Ensuite, elle a indiqué à son assistante sociale lors de son entretien du 24 mai 2013 qu'elle avait de la peine à se projeter dans l'avenir, notamment en raison de l'incertitude sur l'autorisation de séjour et de logement. Cela démontre qu'elle se préoccupait de la situation de ce dernier et qu'elle souhaitait lui offrir un certain soutien. Quant à la présence de Y.________ lors des entretiens de la recourante du 25 mai 2013 et du 11 septembre 2014, elle démontre que ce soutien était, de longue date, réciproque entre les intéressés. Enfin, la recourante allègue qu'en raison de leurs différences culturelles et religieuses, elle ne consommerait pas les mêmes aliments que Y.________. Mis à part le fait que cette affirmation n'est pas démontrée, on relèvera qu'il ne suffirait de toute façon pas à établir l'absence d'une communauté de type familial, la non consommation des mêmes aliments n'empêchant nullement un achat conjoint. Par ailleurs, il n'est pas rare que les membres d'une communauté de type familial ne partagent pas la même nourriture lors des repas; tel peut être notamment aussi le cas lorsqu'un seul des membres de cette communauté souffre d'allergies alimentaires ou est végétarien, végétalien, etc. Par ailleurs, cela ne prouve encore pas que les autres fonctions ménagères conventionnelles (gîte, couvert, lessive, entretien, etc.) ne sont pas assumées et financées ensemble. Il résulte de ce qui précède que l'appréciation du CSR, confirmée par le SPAS le 8 mai 2015, est pleinement justifiée. C'est dans ces conditions à juste titre que l'autorité intimée a considéré qu'il se justifiait de revoir le calcul des prestations d'aide financière versées à la recourante. Pour le surplus, celle-ci ne remet pas en question les montants retenus dans le cadre du nouveau calcul de l'aide qui lui est dévolue.</w:t>
      </w:r>
    </w:p>
    <w:p>
      <w:r>
        <w:rPr>
          <w:b/>
        </w:rPr>
        <w:t>E. 5</w:t>
      </w:r>
    </w:p>
    <w:p>
      <w:r>
        <w:t>En définitive, le recours doit être rejeté et la décision attaquée, confirmée. L'arrêt sera rendu sans frais (art. 4 al. 3 du Tarif du 28 avril 2015 des frais judiciaires et des dépens en matière administrative – TFJDA;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