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PS.2015.0042 vom 30. Oktober 2015</w:t>
      </w:r>
    </w:p>
    <w:p>
      <w:r>
        <w:t>VD Tribunal cantonal, 2015-10-30, FR</w:t>
      </w:r>
    </w:p>
    <w:p>
      <w:r>
        <w:rPr>
          <w:b/>
        </w:rPr>
        <w:t xml:space="preserve">Quelle: </w:t>
      </w:r>
      <w:r>
        <w:t>https://mcp.opencaselaw.ch/entscheid/vd_omni_PS.2015.0042</w:t>
      </w:r>
    </w:p>
    <w:p>
      <w:r>
        <w:t>FR: VD_OMNI PS.2015.0042 du 30 octobre 2015</w:t>
      </w:r>
    </w:p>
    <w:p>
      <w:r>
        <w:t>IT: VD_OMNI PS.2015.0042 del 30 ottobre 2015</w:t>
      </w:r>
    </w:p>
    <w:p>
      <w:pPr>
        <w:pStyle w:val="Heading2"/>
      </w:pPr>
      <w:r>
        <w:t>Regeste</w:t>
      </w:r>
    </w:p>
    <w:p>
      <w:r>
        <w:t>X.________/Service de prévoyance et d'aide sociales, Centre social régional de Lausanne | Il ne ressort pas du dossier que le recourant aurait - implicitement ou expressément - désigné son père pour le représenter devant l'autorité intimée, ni non plus qu'il ne l'aurait priée de notifier à l'adresse de ce dernier les divers actes de la procédure le concernant. Le recourant a clairement agi en son nom et pour son propre compte d'une part et fait figurer son adresse - distincte de celle de son père – sur l'acte de recours d'autre part. Cela étant, il incombait au SPAS d'adresser toute correspondance directement à l'intéressé voire, en cas de doute, de procéder aux vérifications qui s'imposaient. Recours admis. Décision du SPAS annulée.</w:t>
      </w:r>
    </w:p>
    <w:p>
      <w:pPr>
        <w:pStyle w:val="Heading2"/>
      </w:pPr>
      <w:r>
        <w:t>Erwägungen</w:t>
      </w:r>
    </w:p>
    <w:p>
      <w:r>
        <w:rPr>
          <w:b/>
        </w:rPr>
        <w:t>E. 1</w:t>
      </w:r>
    </w:p>
    <w:p>
      <w:r>
        <w:t>Est litigieuse la question de savoir si le recourant a désigné son père comme représentant dans la procédure devant le SPAS. a) Les parties ont la faculté de se faire représenter conventionnellement en procédure, sauf si elles doivent agir personnellement en vertu de la loi ou pour les besoins de l'instruction; elles peuvent se faire assister (cf. art. 16 al. 1 LPA-VD). L'autorité peut exiger du représentant qu'il justifie de ses pouvoirs par une procuration écrite. Si les pouvoirs ont été portés par le représenté à la connaissance d'un tiers, leur étendue est déterminée envers ce dernier par les termes de la communication qui lui a été faite (cf. art. 33 al. 3 du Code des obligations du 30 mars 2011 (CO; RS 220). La notification doit permettre au destinataire de prendre connaissance de la décision et, le cas échéant, de faire usage des voies de droit ouvertes à son encontre. On considère que la décision est notifiée non pas au moment où le justiciable en prend connaissance, mais le jour où elle est dûment communiquée; s'agissant d'un acte soumis à réception, la notification est réputée parfaite au moment où la décision entre dans la sphère de puissance de son destinataire (ATF 113 Ib 296 consid. 2a). Lorsque la forme est écrite, la décision doit parvenir à la connaissance des intéressés; plus précisément, ceux-ci doivent être mis dans la situation où la prise de connaissance ne dépend plus que d’eux-mêmes ou de leurs représentants (arrêt GE.2012.0102 du 6 novembre 2012 consid. 1a et les références). b) En l'occurrence, il découle de l'acte de recours du 27 décembre 2014, mis en relation avec le courrier rédigé par Y. ________ à la même date, que ce dernier a géré les affaires du recourant au niveau du CSR et en en assume la responsabilité. Contrairement à ce que soutient l'autorité intimée, il ne ressort pas du dossier que le recourant aurait - implicitement ou expressément - désigné son père pour le représenter devant elle, ni non plus ne l'aurait priée de notifier à l'adresse de ce dernier les divers actes de la procédure le concernant. Le recourant a clairement agi en son nom et pour son propre compte d'une part et fait figurer son adresse - distincte de celle de son père – sur l'acte de recours d'autre part. Cela étant, il incombait au SPAS d'adresser toute correspondance directement à l'intéressé voire, en cas de doute, de procéder aux vérifications qui s'imposaient.</w:t>
      </w:r>
    </w:p>
    <w:p>
      <w:r>
        <w:rPr>
          <w:b/>
        </w:rPr>
        <w:t>E. 2</w:t>
      </w:r>
    </w:p>
    <w:p>
      <w:r>
        <w:t>Sur le vu de ce qui précède, le recours doit être admis et la décision contestée annulée. Il appartiendra à l'autorité intimée de compléter l'instruction en s'adressant directement au recourant - notamment en vue d'obtenir la décision du CSR contestée - et de rendre une nouvelle décision. La présente procédure est gratuite (art. 4 al. 3 du Tarif du 28 avril 2015 des frais judiciaires et des dépens en matière administrative (RSV 173.36.5.1). Le recourant ayant agi sans recourir aux services d'un mandataire professionnel, il n'a pas droit à l'allocation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